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2.png" ContentType="image/png"/>
  <Override PartName="/word/media/image1.wmf" ContentType="image/x-wmf"/>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right" w:pos="9216" w:leader="none"/>
        </w:tabs>
        <w:jc w:val="both"/>
        <w:rPr/>
      </w:pPr>
      <w:r>
        <mc:AlternateContent>
          <mc:Choice Requires="wps">
            <w:drawing>
              <wp:anchor behindDoc="0" distT="0" distB="0" distL="114300" distR="114300" simplePos="0" locked="0" layoutInCell="1" allowOverlap="1" relativeHeight="6" wp14:anchorId="7DD917CF">
                <wp:simplePos x="0" y="0"/>
                <wp:positionH relativeFrom="column">
                  <wp:posOffset>0</wp:posOffset>
                </wp:positionH>
                <wp:positionV relativeFrom="paragraph">
                  <wp:posOffset>635</wp:posOffset>
                </wp:positionV>
                <wp:extent cx="2540" cy="2540"/>
                <wp:effectExtent l="0" t="0" r="0" b="0"/>
                <wp:wrapNone/>
                <wp:docPr id="1"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1800" cy="180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w:r>
      <w:r>
        <w:rPr>
          <w:b/>
          <w:bCs/>
          <w:lang w:eastAsia="zh-CN"/>
        </w:rPr>
        <w:t>3GPP TSG RAN WG1 Meeting #106b-e</w:t>
      </w:r>
      <w:r>
        <w:rPr>
          <w:b/>
          <w:kern w:val="2"/>
          <w:lang w:eastAsia="zh-CN"/>
        </w:rPr>
        <w:tab/>
      </w:r>
      <w:r>
        <w:rPr>
          <w:rFonts w:cs="Arial" w:ascii="Arial" w:hAnsi="Arial"/>
          <w:b/>
          <w:bCs/>
          <w:color w:val="808080"/>
          <w:sz w:val="26"/>
          <w:szCs w:val="26"/>
        </w:rPr>
        <w:t>R1-21</w:t>
      </w:r>
      <w:r>
        <w:rPr>
          <w:rFonts w:cs="Arial" w:ascii="Arial" w:hAnsi="Arial"/>
          <w:b/>
          <w:bCs/>
          <w:color w:val="808080"/>
          <w:sz w:val="26"/>
          <w:szCs w:val="26"/>
        </w:rPr>
        <w:t>10344</w:t>
      </w:r>
    </w:p>
    <w:p>
      <w:pPr>
        <w:pStyle w:val="Normal"/>
        <w:tabs>
          <w:tab w:val="right" w:pos="9216" w:leader="none"/>
        </w:tabs>
        <w:jc w:val="both"/>
        <w:rPr/>
      </w:pPr>
      <w:bookmarkStart w:id="0" w:name="_Hlk68630309"/>
      <w:bookmarkEnd w:id="0"/>
      <w:r>
        <mc:AlternateContent>
          <mc:Choice Requires="wps">
            <w:drawing>
              <wp:anchor behindDoc="0" distT="0" distB="0" distL="114300" distR="114300" simplePos="0" locked="0" layoutInCell="1" allowOverlap="1" relativeHeight="3" wp14:anchorId="40464CC0">
                <wp:simplePos x="0" y="0"/>
                <wp:positionH relativeFrom="column">
                  <wp:posOffset>0</wp:posOffset>
                </wp:positionH>
                <wp:positionV relativeFrom="paragraph">
                  <wp:posOffset>635</wp:posOffset>
                </wp:positionV>
                <wp:extent cx="2540" cy="2540"/>
                <wp:effectExtent l="0" t="0" r="0" b="0"/>
                <wp:wrapNone/>
                <wp:docPr id="2"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1800" cy="180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114300" distR="114300" simplePos="0" locked="0" layoutInCell="1" allowOverlap="1" relativeHeight="5" wp14:anchorId="37A88759">
                <wp:simplePos x="0" y="0"/>
                <wp:positionH relativeFrom="column">
                  <wp:posOffset>0</wp:posOffset>
                </wp:positionH>
                <wp:positionV relativeFrom="paragraph">
                  <wp:posOffset>635</wp:posOffset>
                </wp:positionV>
                <wp:extent cx="2540" cy="2540"/>
                <wp:effectExtent l="0" t="0" r="0" b="0"/>
                <wp:wrapNone/>
                <wp:docPr id="3"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1800" cy="180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w:r>
      <w:r>
        <w:rPr>
          <w:b/>
          <w:bCs/>
          <w:color w:val="000000"/>
          <w:kern w:val="2"/>
          <w:lang w:eastAsia="zh-CN"/>
        </w:rPr>
        <w:t>E-meeting, Oct 11</w:t>
      </w:r>
      <w:r>
        <w:rPr>
          <w:b/>
          <w:bCs/>
          <w:color w:val="000000"/>
          <w:kern w:val="2"/>
          <w:vertAlign w:val="superscript"/>
          <w:lang w:eastAsia="zh-CN"/>
        </w:rPr>
        <w:t>th</w:t>
      </w:r>
      <w:r>
        <w:rPr>
          <w:b/>
          <w:bCs/>
          <w:color w:val="000000"/>
          <w:kern w:val="2"/>
          <w:lang w:eastAsia="zh-CN"/>
        </w:rPr>
        <w:t xml:space="preserve"> – Oct 19</w:t>
      </w:r>
      <w:r>
        <w:rPr>
          <w:b/>
          <w:bCs/>
          <w:color w:val="000000"/>
          <w:kern w:val="2"/>
          <w:vertAlign w:val="superscript"/>
          <w:lang w:eastAsia="zh-CN"/>
        </w:rPr>
        <w:t>th</w:t>
      </w:r>
      <w:r>
        <w:rPr>
          <w:b/>
          <w:bCs/>
          <w:color w:val="000000"/>
          <w:kern w:val="2"/>
          <w:lang w:eastAsia="zh-CN"/>
        </w:rPr>
        <w:t>, 2021</w:t>
      </w:r>
    </w:p>
    <w:p>
      <w:pPr>
        <w:pStyle w:val="Normal"/>
        <w:pBdr>
          <w:top w:val="single" w:sz="4" w:space="1" w:color="00000A"/>
        </w:pBdr>
        <w:jc w:val="both"/>
        <w:rPr>
          <w:b/>
          <w:b/>
          <w:kern w:val="2"/>
          <w:sz w:val="16"/>
          <w:szCs w:val="16"/>
          <w:lang w:eastAsia="zh-CN"/>
        </w:rPr>
      </w:pPr>
      <w:r>
        <w:rPr>
          <w:b/>
          <w:kern w:val="2"/>
          <w:sz w:val="16"/>
          <w:szCs w:val="16"/>
          <w:lang w:eastAsia="zh-CN"/>
        </w:rPr>
      </w:r>
    </w:p>
    <w:p>
      <w:pPr>
        <w:pStyle w:val="Normal"/>
        <w:spacing w:before="0" w:after="60"/>
        <w:ind w:left="1555" w:hanging="1555"/>
        <w:jc w:val="both"/>
        <w:rPr/>
      </w:pPr>
      <w:r>
        <w:rPr>
          <w:b/>
          <w:kern w:val="2"/>
          <w:lang w:eastAsia="zh-CN"/>
        </w:rPr>
        <w:t>Agenda Item:</w:t>
        <w:tab/>
        <w:t>8.5.5</w:t>
      </w:r>
    </w:p>
    <w:p>
      <w:pPr>
        <w:pStyle w:val="Normal"/>
        <w:spacing w:before="0" w:after="60"/>
        <w:ind w:left="1555" w:hanging="1555"/>
        <w:jc w:val="both"/>
        <w:rPr/>
      </w:pPr>
      <w:r>
        <w:rPr>
          <w:b/>
          <w:kern w:val="2"/>
          <w:lang w:eastAsia="zh-CN"/>
        </w:rPr>
        <w:t>Source:</w:t>
        <w:tab/>
        <w:t>CEWiT</w:t>
      </w:r>
    </w:p>
    <w:p>
      <w:pPr>
        <w:pStyle w:val="Normal"/>
        <w:spacing w:before="0" w:after="60"/>
        <w:ind w:left="1555" w:hanging="1555"/>
        <w:jc w:val="both"/>
        <w:rPr/>
      </w:pPr>
      <w:r>
        <w:rPr>
          <w:b/>
          <w:kern w:val="2"/>
          <w:lang w:eastAsia="zh-CN"/>
        </w:rPr>
        <w:t>Title:</w:t>
        <w:tab/>
      </w:r>
      <w:bookmarkStart w:id="1" w:name="__DdeLink__88182_1193182160"/>
      <w:r>
        <w:rPr>
          <w:b/>
          <w:kern w:val="2"/>
          <w:lang w:eastAsia="zh-CN"/>
        </w:rPr>
        <w:t xml:space="preserve">Discussion on enhancements of multipath/NLOS reporting from UE and gNB </w:t>
      </w:r>
      <w:bookmarkEnd w:id="1"/>
    </w:p>
    <w:p>
      <w:pPr>
        <w:pStyle w:val="Normal"/>
        <w:spacing w:before="0" w:after="60"/>
        <w:ind w:left="1555" w:hanging="1555"/>
        <w:jc w:val="both"/>
        <w:rPr/>
      </w:pPr>
      <w:r>
        <w:rPr>
          <w:b/>
          <w:kern w:val="2"/>
          <w:lang w:eastAsia="zh-CN"/>
        </w:rPr>
        <w:t>Document for:</w:t>
        <w:tab/>
        <w:t xml:space="preserve">Discussion and Decision </w:t>
      </w:r>
    </w:p>
    <w:p>
      <w:pPr>
        <w:pStyle w:val="Normal"/>
        <w:pBdr>
          <w:bottom w:val="single" w:sz="4" w:space="1" w:color="00000A"/>
        </w:pBdr>
        <w:jc w:val="both"/>
        <w:rPr>
          <w:b/>
          <w:b/>
          <w:kern w:val="2"/>
          <w:sz w:val="16"/>
          <w:szCs w:val="16"/>
          <w:lang w:eastAsia="zh-CN"/>
        </w:rPr>
      </w:pPr>
      <w:r>
        <w:rPr>
          <w:b/>
          <w:kern w:val="2"/>
          <w:sz w:val="16"/>
          <w:szCs w:val="16"/>
          <w:lang w:eastAsia="zh-CN"/>
        </w:rPr>
      </w:r>
    </w:p>
    <w:p>
      <w:pPr>
        <w:pStyle w:val="Normal"/>
        <w:jc w:val="both"/>
        <w:rPr/>
      </w:pPr>
      <w:r>
        <w:rPr/>
      </w:r>
    </w:p>
    <w:p>
      <w:pPr>
        <w:pStyle w:val="Heading1"/>
        <w:numPr>
          <w:ilvl w:val="0"/>
          <w:numId w:val="2"/>
        </w:numPr>
        <w:rPr/>
      </w:pPr>
      <w:r>
        <w:rPr/>
        <w:t>Introduction</w:t>
      </w:r>
    </w:p>
    <w:p>
      <w:pPr>
        <w:pStyle w:val="Normal"/>
        <w:jc w:val="both"/>
        <w:rPr/>
      </w:pPr>
      <w:r>
        <w:rPr>
          <w:lang w:eastAsia="zh-CN"/>
        </w:rPr>
        <w:t>In RAN#90-e</w:t>
      </w:r>
      <w:r>
        <w:rPr>
          <w:lang w:eastAsia="zh-CN"/>
        </w:rPr>
        <w:fldChar w:fldCharType="begin"/>
      </w:r>
      <w:r>
        <w:rPr/>
        <w:instrText> REF _Ref524868549 \n \h </w:instrText>
      </w:r>
      <w:r>
        <w:rPr/>
        <w:fldChar w:fldCharType="separate"/>
      </w:r>
      <w:r>
        <w:rPr/>
        <w:t>Error: Reference source not found</w:t>
      </w:r>
      <w:r>
        <w:rPr/>
        <w:fldChar w:fldCharType="end"/>
      </w:r>
      <w:r>
        <w:rPr>
          <w:lang w:eastAsia="zh-CN"/>
        </w:rPr>
        <w:t>, the approved WI for Rel-17 positioning enhancement includes enhancement for DL-AoD positioning method for better angle-based positioning estimation. RAN1 started work on this WI in RAN1#105-e. So far following are the agreements relevant to this contribution,</w:t>
      </w:r>
    </w:p>
    <w:p>
      <w:pPr>
        <w:pStyle w:val="Normal"/>
        <w:rPr>
          <w:lang w:eastAsia="x-none"/>
        </w:rPr>
      </w:pPr>
      <w:r>
        <w:rPr>
          <w:lang w:eastAsia="x-none"/>
        </w:rPr>
      </w:r>
    </w:p>
    <w:p>
      <w:pPr>
        <w:pStyle w:val="Normal"/>
        <w:rPr/>
      </w:pPr>
      <w:r>
        <w:rPr>
          <w:highlight w:val="green"/>
          <w:lang w:eastAsia="x-none"/>
        </w:rPr>
        <w:t>Agreement:</w:t>
      </w:r>
    </w:p>
    <w:p>
      <w:pPr>
        <w:pStyle w:val="Normal"/>
        <w:numPr>
          <w:ilvl w:val="0"/>
          <w:numId w:val="6"/>
        </w:numPr>
        <w:rPr/>
      </w:pPr>
      <w:r>
        <w:rPr>
          <w:lang w:val="en-US" w:eastAsia="x-none"/>
        </w:rPr>
        <w:t>For up to N&gt;2 additional paths, support reporting relative timing (to the first detected path) in the measurement reports from UE to LMF for at least DL-TDOA and multi-RTT</w:t>
      </w:r>
    </w:p>
    <w:p>
      <w:pPr>
        <w:pStyle w:val="Normal"/>
        <w:numPr>
          <w:ilvl w:val="1"/>
          <w:numId w:val="6"/>
        </w:numPr>
        <w:rPr/>
      </w:pPr>
      <w:r>
        <w:rPr>
          <w:lang w:val="en-US" w:eastAsia="x-none"/>
        </w:rPr>
        <w:t>FFS: Definition of additional paths for N&gt;2</w:t>
      </w:r>
    </w:p>
    <w:p>
      <w:pPr>
        <w:pStyle w:val="Normal"/>
        <w:numPr>
          <w:ilvl w:val="1"/>
          <w:numId w:val="6"/>
        </w:numPr>
        <w:rPr/>
      </w:pPr>
      <w:r>
        <w:rPr>
          <w:lang w:val="en-US" w:eastAsia="x-none"/>
        </w:rPr>
        <w:t>FFS: Whether power is additionally reported and if reported whether power is relative to first detected path or total power</w:t>
      </w:r>
    </w:p>
    <w:p>
      <w:pPr>
        <w:pStyle w:val="Normal"/>
        <w:numPr>
          <w:ilvl w:val="0"/>
          <w:numId w:val="6"/>
        </w:numPr>
        <w:rPr/>
      </w:pPr>
      <w:r>
        <w:rPr>
          <w:lang w:val="en-US" w:eastAsia="x-none"/>
        </w:rPr>
        <w:t>Support one of the following options for maximum value of N at RAN1#106-b (any further criteria for selection to be discussed during RAN1#106):</w:t>
      </w:r>
    </w:p>
    <w:p>
      <w:pPr>
        <w:pStyle w:val="Normal"/>
        <w:numPr>
          <w:ilvl w:val="1"/>
          <w:numId w:val="6"/>
        </w:numPr>
        <w:rPr/>
      </w:pPr>
      <w:r>
        <w:rPr>
          <w:lang w:val="en-US" w:eastAsia="x-none"/>
        </w:rPr>
        <w:t>Option 1: N = 4</w:t>
      </w:r>
    </w:p>
    <w:p>
      <w:pPr>
        <w:pStyle w:val="Normal"/>
        <w:numPr>
          <w:ilvl w:val="1"/>
          <w:numId w:val="6"/>
        </w:numPr>
        <w:rPr/>
      </w:pPr>
      <w:r>
        <w:rPr>
          <w:lang w:val="en-US" w:eastAsia="x-none"/>
        </w:rPr>
        <w:t>Option 2: N = 8</w:t>
      </w:r>
    </w:p>
    <w:p>
      <w:pPr>
        <w:pStyle w:val="Normal"/>
        <w:numPr>
          <w:ilvl w:val="1"/>
          <w:numId w:val="6"/>
        </w:numPr>
        <w:rPr/>
      </w:pPr>
      <w:r>
        <w:rPr>
          <w:lang w:val="en-US" w:eastAsia="x-none"/>
        </w:rPr>
        <w:t>Option 3: N = 16</w:t>
      </w:r>
    </w:p>
    <w:p>
      <w:pPr>
        <w:pStyle w:val="Normal"/>
        <w:numPr>
          <w:ilvl w:val="1"/>
          <w:numId w:val="6"/>
        </w:numPr>
        <w:rPr/>
      </w:pPr>
      <w:r>
        <w:rPr>
          <w:lang w:val="en-US" w:eastAsia="x-none"/>
        </w:rPr>
        <w:t>Option 4: N = 32</w:t>
      </w:r>
    </w:p>
    <w:p>
      <w:pPr>
        <w:pStyle w:val="Normal"/>
        <w:rPr>
          <w:lang w:eastAsia="x-none"/>
        </w:rPr>
      </w:pPr>
      <w:r>
        <w:rPr>
          <w:lang w:eastAsia="x-none"/>
        </w:rPr>
      </w:r>
    </w:p>
    <w:p>
      <w:pPr>
        <w:pStyle w:val="Normal"/>
        <w:rPr/>
      </w:pPr>
      <w:r>
        <w:rPr>
          <w:highlight w:val="green"/>
          <w:lang w:eastAsia="x-none"/>
        </w:rPr>
        <w:t>Agreement:</w:t>
      </w:r>
    </w:p>
    <w:p>
      <w:pPr>
        <w:pStyle w:val="Normal"/>
        <w:numPr>
          <w:ilvl w:val="0"/>
          <w:numId w:val="6"/>
        </w:numPr>
        <w:rPr/>
      </w:pPr>
      <w:r>
        <w:rPr>
          <w:lang w:val="en-US" w:eastAsia="x-none"/>
        </w:rPr>
        <w:t>For multipath reporting enhancements, support reporting from TRP to LMF, angle, timing, for up to additional N&gt;2 paths for at least UL-TDOA and multi-RTT.</w:t>
      </w:r>
    </w:p>
    <w:p>
      <w:pPr>
        <w:pStyle w:val="Normal"/>
        <w:numPr>
          <w:ilvl w:val="1"/>
          <w:numId w:val="6"/>
        </w:numPr>
        <w:rPr/>
      </w:pPr>
      <w:r>
        <w:rPr>
          <w:lang w:val="en-US" w:eastAsia="x-none"/>
        </w:rPr>
        <w:t>FFS: Definition of additional paths for N&gt;2</w:t>
      </w:r>
    </w:p>
    <w:p>
      <w:pPr>
        <w:pStyle w:val="Normal"/>
        <w:numPr>
          <w:ilvl w:val="1"/>
          <w:numId w:val="6"/>
        </w:numPr>
        <w:rPr/>
      </w:pPr>
      <w:r>
        <w:rPr>
          <w:lang w:val="en-US" w:eastAsia="x-none"/>
        </w:rPr>
        <w:t>FFS: Whether power is additionally reported and if reported whether power is relative to first detected path or total power</w:t>
      </w:r>
    </w:p>
    <w:p>
      <w:pPr>
        <w:pStyle w:val="Normal"/>
        <w:numPr>
          <w:ilvl w:val="0"/>
          <w:numId w:val="6"/>
        </w:numPr>
        <w:rPr/>
      </w:pPr>
      <w:r>
        <w:rPr>
          <w:lang w:val="en-US" w:eastAsia="x-none"/>
        </w:rPr>
        <w:t>Down select between the following options for N at RAN1#106-b (any further criteria for selection to be discussed during RAN1#106):</w:t>
      </w:r>
    </w:p>
    <w:p>
      <w:pPr>
        <w:pStyle w:val="Normal"/>
        <w:numPr>
          <w:ilvl w:val="1"/>
          <w:numId w:val="6"/>
        </w:numPr>
        <w:rPr/>
      </w:pPr>
      <w:r>
        <w:rPr>
          <w:lang w:val="en-US" w:eastAsia="x-none"/>
        </w:rPr>
        <w:t>Option 1: N = 4</w:t>
      </w:r>
    </w:p>
    <w:p>
      <w:pPr>
        <w:pStyle w:val="Normal"/>
        <w:numPr>
          <w:ilvl w:val="1"/>
          <w:numId w:val="6"/>
        </w:numPr>
        <w:rPr/>
      </w:pPr>
      <w:r>
        <w:rPr>
          <w:lang w:val="en-US" w:eastAsia="x-none"/>
        </w:rPr>
        <w:t>Option 2: N = 8</w:t>
      </w:r>
    </w:p>
    <w:p>
      <w:pPr>
        <w:pStyle w:val="Normal"/>
        <w:numPr>
          <w:ilvl w:val="1"/>
          <w:numId w:val="6"/>
        </w:numPr>
        <w:rPr/>
      </w:pPr>
      <w:r>
        <w:rPr>
          <w:lang w:val="en-US" w:eastAsia="x-none"/>
        </w:rPr>
        <w:t>Option 3: N = 16</w:t>
      </w:r>
    </w:p>
    <w:p>
      <w:pPr>
        <w:pStyle w:val="Normal"/>
        <w:numPr>
          <w:ilvl w:val="1"/>
          <w:numId w:val="6"/>
        </w:numPr>
        <w:rPr/>
      </w:pPr>
      <w:r>
        <w:rPr>
          <w:lang w:val="en-US" w:eastAsia="x-none"/>
        </w:rPr>
        <w:t>Option 4: N = 32</w:t>
      </w:r>
    </w:p>
    <w:p>
      <w:pPr>
        <w:pStyle w:val="Normal"/>
        <w:rPr>
          <w:lang w:eastAsia="x-none"/>
        </w:rPr>
      </w:pPr>
      <w:r>
        <w:rPr>
          <w:lang w:eastAsia="x-none"/>
        </w:rPr>
      </w:r>
    </w:p>
    <w:p>
      <w:pPr>
        <w:pStyle w:val="Normal"/>
        <w:rPr/>
      </w:pPr>
      <w:r>
        <w:rPr>
          <w:highlight w:val="green"/>
          <w:lang w:eastAsia="x-none"/>
        </w:rPr>
        <w:t>Agreement:</w:t>
      </w:r>
    </w:p>
    <w:p>
      <w:pPr>
        <w:pStyle w:val="Normal"/>
        <w:numPr>
          <w:ilvl w:val="0"/>
          <w:numId w:val="7"/>
        </w:numPr>
        <w:rPr/>
      </w:pPr>
      <w:r>
        <w:rPr>
          <w:lang w:eastAsia="x-none"/>
        </w:rPr>
        <w:t xml:space="preserve">Support LoS/NLoS indicators which are reported to the LMF for DL and DL+UL positioning measurements taken at UE for UE-assisted positioning or UL and DL+UL measurements at the TRP for NG-RAN assisted positioning. </w:t>
      </w:r>
    </w:p>
    <w:p>
      <w:pPr>
        <w:pStyle w:val="Normal"/>
        <w:numPr>
          <w:ilvl w:val="1"/>
          <w:numId w:val="7"/>
        </w:numPr>
        <w:rPr/>
      </w:pPr>
      <w:r>
        <w:rPr>
          <w:lang w:eastAsia="x-none"/>
        </w:rPr>
        <w:t>Reporting from UE is subject to UE capability</w:t>
      </w:r>
    </w:p>
    <w:p>
      <w:pPr>
        <w:pStyle w:val="Normal"/>
        <w:numPr>
          <w:ilvl w:val="0"/>
          <w:numId w:val="7"/>
        </w:numPr>
        <w:rPr/>
      </w:pPr>
      <w:r>
        <w:rPr>
          <w:lang w:eastAsia="x-none"/>
        </w:rPr>
        <w:t>Positioning assistance data from LMF is enhanced for UE-based positioning by including LoS/NLoS indicators.</w:t>
      </w:r>
    </w:p>
    <w:p>
      <w:pPr>
        <w:pStyle w:val="Normal"/>
        <w:numPr>
          <w:ilvl w:val="0"/>
          <w:numId w:val="7"/>
        </w:numPr>
        <w:rPr/>
      </w:pPr>
      <w:r>
        <w:rPr>
          <w:lang w:eastAsia="x-none"/>
        </w:rPr>
        <w:t>FFS: Other kinds of positioning assistance data enhancements</w:t>
      </w:r>
    </w:p>
    <w:p>
      <w:pPr>
        <w:pStyle w:val="Normal"/>
        <w:numPr>
          <w:ilvl w:val="0"/>
          <w:numId w:val="7"/>
        </w:numPr>
        <w:rPr/>
      </w:pPr>
      <w:r>
        <w:rPr>
          <w:lang w:eastAsia="x-none"/>
        </w:rPr>
        <w:t>For LoS/NLoS detection method(s), there is no additional measurement IEs or assistance data outside of LoS/NloS indicator reporting (i.e., Option 6 from prior agreement).</w:t>
      </w:r>
    </w:p>
    <w:p>
      <w:pPr>
        <w:pStyle w:val="Normal"/>
        <w:numPr>
          <w:ilvl w:val="0"/>
          <w:numId w:val="7"/>
        </w:numPr>
        <w:rPr/>
      </w:pPr>
      <w:r>
        <w:rPr>
          <w:lang w:eastAsia="x-none"/>
        </w:rPr>
        <w:t>Note 1: No RAN4 requirements are expected for the LoS/NLoS indicators in RAN1’s understanding</w:t>
      </w:r>
    </w:p>
    <w:p>
      <w:pPr>
        <w:pStyle w:val="Normal"/>
        <w:numPr>
          <w:ilvl w:val="0"/>
          <w:numId w:val="7"/>
        </w:numPr>
        <w:rPr/>
      </w:pPr>
      <w:r>
        <w:rPr>
          <w:lang w:eastAsia="x-none"/>
        </w:rPr>
        <w:t>Note 2: LoS/NLoS indicators can be complementary to outlier rejection algorithms.</w:t>
      </w:r>
    </w:p>
    <w:p>
      <w:pPr>
        <w:pStyle w:val="Normal"/>
        <w:rPr>
          <w:lang w:eastAsia="x-none"/>
        </w:rPr>
      </w:pPr>
      <w:r>
        <w:rPr>
          <w:lang w:eastAsia="x-none"/>
        </w:rPr>
      </w:r>
    </w:p>
    <w:p>
      <w:pPr>
        <w:pStyle w:val="Normal"/>
        <w:rPr/>
      </w:pPr>
      <w:r>
        <w:rPr>
          <w:highlight w:val="green"/>
          <w:lang w:eastAsia="x-none"/>
        </w:rPr>
        <w:t>Agreement:</w:t>
      </w:r>
    </w:p>
    <w:p>
      <w:pPr>
        <w:pStyle w:val="Normal"/>
        <w:rPr/>
      </w:pPr>
      <w:r>
        <w:rPr>
          <w:lang w:val="en-US" w:eastAsia="x-none"/>
        </w:rPr>
        <w:t>Reporting multiple UL-AoA values per additional path is supported for at least UL TDOA and multi-RTT.</w:t>
      </w:r>
    </w:p>
    <w:p>
      <w:pPr>
        <w:pStyle w:val="Normal"/>
        <w:numPr>
          <w:ilvl w:val="0"/>
          <w:numId w:val="9"/>
        </w:numPr>
        <w:rPr/>
      </w:pPr>
      <w:r>
        <w:rPr>
          <w:lang w:val="en-US" w:eastAsia="x-none"/>
        </w:rPr>
        <w:t>FFS: maximum number of UL-AoA values per additional path.</w:t>
      </w:r>
    </w:p>
    <w:p>
      <w:pPr>
        <w:pStyle w:val="Normal"/>
        <w:rPr>
          <w:lang w:val="en-US" w:eastAsia="x-none"/>
        </w:rPr>
      </w:pPr>
      <w:r>
        <w:rPr>
          <w:lang w:val="en-US" w:eastAsia="x-none"/>
        </w:rPr>
      </w:r>
    </w:p>
    <w:p>
      <w:pPr>
        <w:pStyle w:val="Normal"/>
        <w:rPr/>
      </w:pPr>
      <w:r>
        <w:rPr>
          <w:highlight w:val="green"/>
          <w:lang w:val="en-US" w:eastAsia="x-none"/>
        </w:rPr>
        <w:t>Agreement:</w:t>
      </w:r>
    </w:p>
    <w:p>
      <w:pPr>
        <w:pStyle w:val="Normal"/>
        <w:rPr/>
      </w:pPr>
      <w:r>
        <w:rPr>
          <w:lang w:val="en-US" w:eastAsia="x-none"/>
        </w:rPr>
        <w:t xml:space="preserve">For LoS/NLoS indicators, a single-indicator can be reported and the supported values are a discrete set in the interval [0, 1]. </w:t>
      </w:r>
    </w:p>
    <w:p>
      <w:pPr>
        <w:pStyle w:val="Normal"/>
        <w:numPr>
          <w:ilvl w:val="0"/>
          <w:numId w:val="8"/>
        </w:numPr>
        <w:rPr/>
      </w:pPr>
      <w:r>
        <w:rPr>
          <w:lang w:val="en-US" w:eastAsia="x-none"/>
        </w:rPr>
        <w:t>FFS: the number of discrete values to be supported</w:t>
      </w:r>
    </w:p>
    <w:p>
      <w:pPr>
        <w:pStyle w:val="Normal"/>
        <w:numPr>
          <w:ilvl w:val="0"/>
          <w:numId w:val="8"/>
        </w:numPr>
        <w:rPr/>
      </w:pPr>
      <w:r>
        <w:rPr>
          <w:lang w:val="en-US" w:eastAsia="x-none"/>
        </w:rPr>
        <w:t>Note: This does not preclude using binary values only which is up to UE/TRP implementation</w:t>
      </w:r>
    </w:p>
    <w:p>
      <w:pPr>
        <w:pStyle w:val="Normal"/>
        <w:numPr>
          <w:ilvl w:val="0"/>
          <w:numId w:val="8"/>
        </w:numPr>
        <w:rPr/>
      </w:pPr>
      <w:r>
        <w:rPr>
          <w:lang w:val="en-US" w:eastAsia="x-none"/>
        </w:rPr>
        <w:t>Note: Single-indicator means that one value in the interval [0, 1] is used for the LoS/NLoS indication</w:t>
      </w:r>
    </w:p>
    <w:p>
      <w:pPr>
        <w:pStyle w:val="Normal"/>
        <w:jc w:val="both"/>
        <w:rPr>
          <w:lang w:eastAsia="x-none"/>
        </w:rPr>
      </w:pPr>
      <w:r>
        <w:rPr>
          <w:lang w:eastAsia="x-none"/>
        </w:rPr>
      </w:r>
    </w:p>
    <w:p>
      <w:pPr>
        <w:pStyle w:val="Normal"/>
        <w:jc w:val="both"/>
        <w:rPr>
          <w:lang w:val="en-US" w:eastAsia="x-none"/>
        </w:rPr>
      </w:pPr>
      <w:r>
        <w:rPr>
          <w:lang w:val="en-US" w:eastAsia="x-none"/>
        </w:rPr>
      </w:r>
    </w:p>
    <w:p>
      <w:pPr>
        <w:pStyle w:val="Normal"/>
        <w:jc w:val="both"/>
        <w:rPr/>
      </w:pPr>
      <w:r>
        <w:rPr>
          <w:lang w:val="en-US" w:eastAsia="x-none"/>
        </w:rPr>
        <w:t xml:space="preserve">This contribution provides the further deliberation and detailing on remaining aspects for </w:t>
      </w:r>
      <w:r>
        <w:rPr>
          <w:lang w:val="en-US" w:eastAsia="zh-CN"/>
        </w:rPr>
        <w:t>multipath and/or NLOS mitigation for</w:t>
      </w:r>
      <w:r>
        <w:rPr>
          <w:lang w:val="en-US" w:eastAsia="x-none"/>
        </w:rPr>
        <w:t xml:space="preserve"> positioning method in Rel 17.</w:t>
      </w:r>
    </w:p>
    <w:p>
      <w:pPr>
        <w:pStyle w:val="Normal"/>
        <w:pBdr>
          <w:bottom w:val="single" w:sz="4" w:space="1" w:color="00000A"/>
        </w:pBdr>
        <w:jc w:val="both"/>
        <w:rPr>
          <w:lang w:val="en-US" w:eastAsia="x-none"/>
        </w:rPr>
      </w:pPr>
      <w:r>
        <w:rPr>
          <w:lang w:val="en-US" w:eastAsia="x-none"/>
        </w:rPr>
      </w:r>
    </w:p>
    <w:p>
      <w:pPr>
        <w:pStyle w:val="Heading1"/>
        <w:numPr>
          <w:ilvl w:val="0"/>
          <w:numId w:val="2"/>
        </w:numPr>
        <w:spacing w:before="4527" w:after="120"/>
        <w:rPr/>
      </w:pPr>
      <w:r>
        <mc:AlternateContent>
          <mc:Choice Requires="wps">
            <w:drawing>
              <wp:anchor behindDoc="0" distT="45720" distB="45720" distL="114300" distR="114300" simplePos="0" locked="0" layoutInCell="1" allowOverlap="1" relativeHeight="2" wp14:anchorId="2DAE446D">
                <wp:simplePos x="0" y="0"/>
                <wp:positionH relativeFrom="margin">
                  <wp:posOffset>19050</wp:posOffset>
                </wp:positionH>
                <wp:positionV relativeFrom="paragraph">
                  <wp:posOffset>1222375</wp:posOffset>
                </wp:positionV>
                <wp:extent cx="5919470" cy="2874645"/>
                <wp:effectExtent l="0" t="0" r="25400" b="27305"/>
                <wp:wrapTopAndBottom/>
                <wp:docPr id="4" name="Text Box 2"/>
                <a:graphic xmlns:a="http://schemas.openxmlformats.org/drawingml/2006/main">
                  <a:graphicData uri="http://schemas.microsoft.com/office/word/2010/wordprocessingShape">
                    <wps:wsp>
                      <wps:cNvSpPr/>
                      <wps:spPr>
                        <a:xfrm>
                          <a:off x="0" y="0"/>
                          <a:ext cx="5918760" cy="2873880"/>
                        </a:xfrm>
                        <a:prstGeom prst="rect">
                          <a:avLst/>
                        </a:prstGeom>
                        <a:solidFill>
                          <a:srgbClr val="ffffff"/>
                        </a:solidFill>
                        <a:ln w="9360">
                          <a:miter/>
                        </a:ln>
                      </wps:spPr>
                      <wps:style>
                        <a:lnRef idx="0"/>
                        <a:fillRef idx="0"/>
                        <a:effectRef idx="0"/>
                        <a:fontRef idx="minor"/>
                      </wps:style>
                      <wps:txbx>
                        <w:txbxContent>
                          <w:p>
                            <w:pPr>
                              <w:pStyle w:val="FrameContents"/>
                              <w:rPr>
                                <w:lang w:eastAsia="x-none"/>
                              </w:rPr>
                            </w:pPr>
                            <w:r>
                              <w:rPr>
                                <w:color w:val="000000"/>
                                <w:highlight w:val="green"/>
                                <w:lang w:eastAsia="x-none"/>
                              </w:rPr>
                              <w:t>Agreement:</w:t>
                            </w:r>
                          </w:p>
                          <w:p>
                            <w:pPr>
                              <w:pStyle w:val="FrameContents"/>
                              <w:numPr>
                                <w:ilvl w:val="0"/>
                                <w:numId w:val="4"/>
                              </w:numPr>
                              <w:rPr>
                                <w:lang w:eastAsia="x-none"/>
                              </w:rPr>
                            </w:pPr>
                            <w:r>
                              <w:rPr>
                                <w:color w:val="000000"/>
                                <w:lang w:eastAsia="x-none"/>
                              </w:rPr>
                              <w:t xml:space="preserve">Support LoS/NLoS indicators which are reported to the LMF for DL and DL+UL positioning measurements taken at UE for UE-assisted positioning or UL and DL+UL measurements at the TRP for NG-RAN assisted positioning. </w:t>
                            </w:r>
                          </w:p>
                          <w:p>
                            <w:pPr>
                              <w:pStyle w:val="FrameContents"/>
                              <w:numPr>
                                <w:ilvl w:val="1"/>
                                <w:numId w:val="4"/>
                              </w:numPr>
                              <w:rPr>
                                <w:lang w:eastAsia="x-none"/>
                              </w:rPr>
                            </w:pPr>
                            <w:r>
                              <w:rPr>
                                <w:color w:val="000000"/>
                                <w:lang w:eastAsia="x-none"/>
                              </w:rPr>
                              <w:t>Reporting from UE is subject to UE capability</w:t>
                            </w:r>
                          </w:p>
                          <w:p>
                            <w:pPr>
                              <w:pStyle w:val="FrameContents"/>
                              <w:numPr>
                                <w:ilvl w:val="0"/>
                                <w:numId w:val="4"/>
                              </w:numPr>
                              <w:rPr>
                                <w:lang w:eastAsia="x-none"/>
                              </w:rPr>
                            </w:pPr>
                            <w:r>
                              <w:rPr>
                                <w:color w:val="000000"/>
                                <w:lang w:eastAsia="x-none"/>
                              </w:rPr>
                              <w:t>Positioning assistance data from LMF is enhanced for UE-based positioning by including LoS/NLoS indicators.</w:t>
                            </w:r>
                          </w:p>
                          <w:p>
                            <w:pPr>
                              <w:pStyle w:val="FrameContents"/>
                              <w:numPr>
                                <w:ilvl w:val="0"/>
                                <w:numId w:val="4"/>
                              </w:numPr>
                              <w:rPr>
                                <w:lang w:eastAsia="x-none"/>
                              </w:rPr>
                            </w:pPr>
                            <w:r>
                              <w:rPr>
                                <w:color w:val="000000"/>
                                <w:lang w:eastAsia="x-none"/>
                              </w:rPr>
                              <w:t>FFS: Other kinds of positioning assistance data enhancements</w:t>
                            </w:r>
                          </w:p>
                          <w:p>
                            <w:pPr>
                              <w:pStyle w:val="FrameContents"/>
                              <w:numPr>
                                <w:ilvl w:val="0"/>
                                <w:numId w:val="4"/>
                              </w:numPr>
                              <w:rPr>
                                <w:lang w:eastAsia="x-none"/>
                              </w:rPr>
                            </w:pPr>
                            <w:r>
                              <w:rPr>
                                <w:color w:val="000000"/>
                                <w:lang w:eastAsia="x-none"/>
                              </w:rPr>
                              <w:t>For LoS/NLoS detection method(s), there is no additional measurement IEs or assistance data outside of LoS/NloS indicator reporting (i.e., Option 6 from prior agreement).</w:t>
                            </w:r>
                          </w:p>
                          <w:p>
                            <w:pPr>
                              <w:pStyle w:val="FrameContents"/>
                              <w:numPr>
                                <w:ilvl w:val="0"/>
                                <w:numId w:val="4"/>
                              </w:numPr>
                              <w:rPr>
                                <w:lang w:eastAsia="x-none"/>
                              </w:rPr>
                            </w:pPr>
                            <w:r>
                              <w:rPr>
                                <w:color w:val="000000"/>
                                <w:lang w:eastAsia="x-none"/>
                              </w:rPr>
                              <w:t>Note 1: No RAN4 requirements are expected for the LoS/NLoS indicators in RAN1’s understanding</w:t>
                            </w:r>
                          </w:p>
                          <w:p>
                            <w:pPr>
                              <w:pStyle w:val="FrameContents"/>
                              <w:numPr>
                                <w:ilvl w:val="0"/>
                                <w:numId w:val="4"/>
                              </w:numPr>
                              <w:rPr>
                                <w:lang w:eastAsia="x-none"/>
                              </w:rPr>
                            </w:pPr>
                            <w:r>
                              <w:rPr>
                                <w:color w:val="000000"/>
                                <w:lang w:eastAsia="x-none"/>
                              </w:rPr>
                              <w:t>Note 2: LoS/NLoS indicators can be complementary to outlier rejection algorithms.</w:t>
                            </w:r>
                          </w:p>
                          <w:p>
                            <w:pPr>
                              <w:pStyle w:val="FrameContents"/>
                              <w:rPr>
                                <w:color w:val="000000"/>
                                <w:lang w:val="en-US" w:eastAsia="x-none"/>
                              </w:rPr>
                            </w:pPr>
                            <w:r>
                              <w:rPr>
                                <w:color w:val="000000"/>
                                <w:lang w:val="en-US" w:eastAsia="x-none"/>
                              </w:rPr>
                            </w:r>
                          </w:p>
                          <w:p>
                            <w:pPr>
                              <w:pStyle w:val="FrameContents"/>
                              <w:rPr>
                                <w:lang w:val="en-US" w:eastAsia="x-none"/>
                              </w:rPr>
                            </w:pPr>
                            <w:r>
                              <w:rPr>
                                <w:color w:val="000000"/>
                                <w:highlight w:val="green"/>
                                <w:lang w:val="en-US" w:eastAsia="x-none"/>
                              </w:rPr>
                              <w:t>Agreement:</w:t>
                            </w:r>
                          </w:p>
                          <w:p>
                            <w:pPr>
                              <w:pStyle w:val="FrameContents"/>
                              <w:rPr>
                                <w:lang w:val="en-US" w:eastAsia="x-none"/>
                              </w:rPr>
                            </w:pPr>
                            <w:r>
                              <w:rPr>
                                <w:color w:val="000000"/>
                                <w:lang w:val="en-US" w:eastAsia="x-none"/>
                              </w:rPr>
                              <w:t xml:space="preserve">For LoS/NLoS indicators, a single-indicator can be reported and the supported values are a discrete set in the interval [0, 1]. </w:t>
                            </w:r>
                          </w:p>
                          <w:p>
                            <w:pPr>
                              <w:pStyle w:val="FrameContents"/>
                              <w:numPr>
                                <w:ilvl w:val="0"/>
                                <w:numId w:val="5"/>
                              </w:numPr>
                              <w:rPr>
                                <w:lang w:val="en-US" w:eastAsia="x-none"/>
                              </w:rPr>
                            </w:pPr>
                            <w:r>
                              <w:rPr>
                                <w:color w:val="000000"/>
                                <w:lang w:val="en-US" w:eastAsia="x-none"/>
                              </w:rPr>
                              <w:t>FFS: the number of discrete values to be supported</w:t>
                            </w:r>
                          </w:p>
                          <w:p>
                            <w:pPr>
                              <w:pStyle w:val="FrameContents"/>
                              <w:numPr>
                                <w:ilvl w:val="0"/>
                                <w:numId w:val="5"/>
                              </w:numPr>
                              <w:rPr>
                                <w:lang w:val="en-US" w:eastAsia="x-none"/>
                              </w:rPr>
                            </w:pPr>
                            <w:r>
                              <w:rPr>
                                <w:color w:val="000000"/>
                                <w:lang w:val="en-US" w:eastAsia="x-none"/>
                              </w:rPr>
                              <w:t>Note: This does not preclude using binary values only which is up to UE/TRP implementation</w:t>
                            </w:r>
                          </w:p>
                          <w:p>
                            <w:pPr>
                              <w:pStyle w:val="FrameContents"/>
                              <w:numPr>
                                <w:ilvl w:val="0"/>
                                <w:numId w:val="5"/>
                              </w:numPr>
                              <w:rPr>
                                <w:lang w:val="en-US" w:eastAsia="x-none"/>
                              </w:rPr>
                            </w:pPr>
                            <w:r>
                              <w:rPr>
                                <w:color w:val="000000"/>
                                <w:lang w:val="en-US" w:eastAsia="x-none"/>
                              </w:rPr>
                              <w:t>Note: Single-indicator means that one value in the interval [0, 1] is used for the LoS/NLoS indication</w:t>
                            </w:r>
                          </w:p>
                          <w:p>
                            <w:pPr>
                              <w:pStyle w:val="FrameContents"/>
                              <w:rPr>
                                <w:color w:val="000000"/>
                              </w:rPr>
                            </w:pPr>
                            <w:r>
                              <w:rPr>
                                <w:color w:val="000000"/>
                              </w:rPr>
                            </w:r>
                          </w:p>
                        </w:txbxContent>
                      </wps:txbx>
                      <wps:bodyPr>
                        <a:spAutoFit/>
                      </wps:bodyPr>
                    </wps:wsp>
                  </a:graphicData>
                </a:graphic>
                <wp14:sizeRelV relativeFrom="margin">
                  <wp14:pctHeight>20000</wp14:pctHeight>
                </wp14:sizeRelV>
              </wp:anchor>
            </w:drawing>
          </mc:Choice>
          <mc:Fallback>
            <w:pict>
              <v:rect id="shape_0" ID="Text Box 2" fillcolor="white" stroked="t" style="position:absolute;margin-left:1.5pt;margin-top:96.25pt;width:466pt;height:226.25pt;mso-position-horizontal-relative:margin" wp14:anchorId="2DAE446D">
                <w10:wrap type="square"/>
                <v:fill o:detectmouseclick="t" type="solid" color2="black"/>
                <v:stroke color="black" weight="9360" joinstyle="miter" endcap="flat"/>
                <v:textbox>
                  <w:txbxContent>
                    <w:p>
                      <w:pPr>
                        <w:pStyle w:val="FrameContents"/>
                        <w:rPr>
                          <w:lang w:eastAsia="x-none"/>
                        </w:rPr>
                      </w:pPr>
                      <w:r>
                        <w:rPr>
                          <w:color w:val="000000"/>
                          <w:highlight w:val="green"/>
                          <w:lang w:eastAsia="x-none"/>
                        </w:rPr>
                        <w:t>Agreement:</w:t>
                      </w:r>
                    </w:p>
                    <w:p>
                      <w:pPr>
                        <w:pStyle w:val="FrameContents"/>
                        <w:numPr>
                          <w:ilvl w:val="0"/>
                          <w:numId w:val="4"/>
                        </w:numPr>
                        <w:rPr>
                          <w:lang w:eastAsia="x-none"/>
                        </w:rPr>
                      </w:pPr>
                      <w:r>
                        <w:rPr>
                          <w:color w:val="000000"/>
                          <w:lang w:eastAsia="x-none"/>
                        </w:rPr>
                        <w:t xml:space="preserve">Support LoS/NLoS indicators which are reported to the LMF for DL and DL+UL positioning measurements taken at UE for UE-assisted positioning or UL and DL+UL measurements at the TRP for NG-RAN assisted positioning. </w:t>
                      </w:r>
                    </w:p>
                    <w:p>
                      <w:pPr>
                        <w:pStyle w:val="FrameContents"/>
                        <w:numPr>
                          <w:ilvl w:val="1"/>
                          <w:numId w:val="4"/>
                        </w:numPr>
                        <w:rPr>
                          <w:lang w:eastAsia="x-none"/>
                        </w:rPr>
                      </w:pPr>
                      <w:r>
                        <w:rPr>
                          <w:color w:val="000000"/>
                          <w:lang w:eastAsia="x-none"/>
                        </w:rPr>
                        <w:t>Reporting from UE is subject to UE capability</w:t>
                      </w:r>
                    </w:p>
                    <w:p>
                      <w:pPr>
                        <w:pStyle w:val="FrameContents"/>
                        <w:numPr>
                          <w:ilvl w:val="0"/>
                          <w:numId w:val="4"/>
                        </w:numPr>
                        <w:rPr>
                          <w:lang w:eastAsia="x-none"/>
                        </w:rPr>
                      </w:pPr>
                      <w:r>
                        <w:rPr>
                          <w:color w:val="000000"/>
                          <w:lang w:eastAsia="x-none"/>
                        </w:rPr>
                        <w:t>Positioning assistance data from LMF is enhanced for UE-based positioning by including LoS/NLoS indicators.</w:t>
                      </w:r>
                    </w:p>
                    <w:p>
                      <w:pPr>
                        <w:pStyle w:val="FrameContents"/>
                        <w:numPr>
                          <w:ilvl w:val="0"/>
                          <w:numId w:val="4"/>
                        </w:numPr>
                        <w:rPr>
                          <w:lang w:eastAsia="x-none"/>
                        </w:rPr>
                      </w:pPr>
                      <w:r>
                        <w:rPr>
                          <w:color w:val="000000"/>
                          <w:lang w:eastAsia="x-none"/>
                        </w:rPr>
                        <w:t>FFS: Other kinds of positioning assistance data enhancements</w:t>
                      </w:r>
                    </w:p>
                    <w:p>
                      <w:pPr>
                        <w:pStyle w:val="FrameContents"/>
                        <w:numPr>
                          <w:ilvl w:val="0"/>
                          <w:numId w:val="4"/>
                        </w:numPr>
                        <w:rPr>
                          <w:lang w:eastAsia="x-none"/>
                        </w:rPr>
                      </w:pPr>
                      <w:r>
                        <w:rPr>
                          <w:color w:val="000000"/>
                          <w:lang w:eastAsia="x-none"/>
                        </w:rPr>
                        <w:t>For LoS/NLoS detection method(s), there is no additional measurement IEs or assistance data outside of LoS/NloS indicator reporting (i.e., Option 6 from prior agreement).</w:t>
                      </w:r>
                    </w:p>
                    <w:p>
                      <w:pPr>
                        <w:pStyle w:val="FrameContents"/>
                        <w:numPr>
                          <w:ilvl w:val="0"/>
                          <w:numId w:val="4"/>
                        </w:numPr>
                        <w:rPr>
                          <w:lang w:eastAsia="x-none"/>
                        </w:rPr>
                      </w:pPr>
                      <w:r>
                        <w:rPr>
                          <w:color w:val="000000"/>
                          <w:lang w:eastAsia="x-none"/>
                        </w:rPr>
                        <w:t>Note 1: No RAN4 requirements are expected for the LoS/NLoS indicators in RAN1’s understanding</w:t>
                      </w:r>
                    </w:p>
                    <w:p>
                      <w:pPr>
                        <w:pStyle w:val="FrameContents"/>
                        <w:numPr>
                          <w:ilvl w:val="0"/>
                          <w:numId w:val="4"/>
                        </w:numPr>
                        <w:rPr>
                          <w:lang w:eastAsia="x-none"/>
                        </w:rPr>
                      </w:pPr>
                      <w:r>
                        <w:rPr>
                          <w:color w:val="000000"/>
                          <w:lang w:eastAsia="x-none"/>
                        </w:rPr>
                        <w:t>Note 2: LoS/NLoS indicators can be complementary to outlier rejection algorithms.</w:t>
                      </w:r>
                    </w:p>
                    <w:p>
                      <w:pPr>
                        <w:pStyle w:val="FrameContents"/>
                        <w:rPr>
                          <w:color w:val="000000"/>
                          <w:lang w:val="en-US" w:eastAsia="x-none"/>
                        </w:rPr>
                      </w:pPr>
                      <w:r>
                        <w:rPr>
                          <w:color w:val="000000"/>
                          <w:lang w:val="en-US" w:eastAsia="x-none"/>
                        </w:rPr>
                      </w:r>
                    </w:p>
                    <w:p>
                      <w:pPr>
                        <w:pStyle w:val="FrameContents"/>
                        <w:rPr>
                          <w:lang w:val="en-US" w:eastAsia="x-none"/>
                        </w:rPr>
                      </w:pPr>
                      <w:r>
                        <w:rPr>
                          <w:color w:val="000000"/>
                          <w:highlight w:val="green"/>
                          <w:lang w:val="en-US" w:eastAsia="x-none"/>
                        </w:rPr>
                        <w:t>Agreement:</w:t>
                      </w:r>
                    </w:p>
                    <w:p>
                      <w:pPr>
                        <w:pStyle w:val="FrameContents"/>
                        <w:rPr>
                          <w:lang w:val="en-US" w:eastAsia="x-none"/>
                        </w:rPr>
                      </w:pPr>
                      <w:r>
                        <w:rPr>
                          <w:color w:val="000000"/>
                          <w:lang w:val="en-US" w:eastAsia="x-none"/>
                        </w:rPr>
                        <w:t xml:space="preserve">For LoS/NLoS indicators, a single-indicator can be reported and the supported values are a discrete set in the interval [0, 1]. </w:t>
                      </w:r>
                    </w:p>
                    <w:p>
                      <w:pPr>
                        <w:pStyle w:val="FrameContents"/>
                        <w:numPr>
                          <w:ilvl w:val="0"/>
                          <w:numId w:val="5"/>
                        </w:numPr>
                        <w:rPr>
                          <w:lang w:val="en-US" w:eastAsia="x-none"/>
                        </w:rPr>
                      </w:pPr>
                      <w:r>
                        <w:rPr>
                          <w:color w:val="000000"/>
                          <w:lang w:val="en-US" w:eastAsia="x-none"/>
                        </w:rPr>
                        <w:t>FFS: the number of discrete values to be supported</w:t>
                      </w:r>
                    </w:p>
                    <w:p>
                      <w:pPr>
                        <w:pStyle w:val="FrameContents"/>
                        <w:numPr>
                          <w:ilvl w:val="0"/>
                          <w:numId w:val="5"/>
                        </w:numPr>
                        <w:rPr>
                          <w:lang w:val="en-US" w:eastAsia="x-none"/>
                        </w:rPr>
                      </w:pPr>
                      <w:r>
                        <w:rPr>
                          <w:color w:val="000000"/>
                          <w:lang w:val="en-US" w:eastAsia="x-none"/>
                        </w:rPr>
                        <w:t>Note: This does not preclude using binary values only which is up to UE/TRP implementation</w:t>
                      </w:r>
                    </w:p>
                    <w:p>
                      <w:pPr>
                        <w:pStyle w:val="FrameContents"/>
                        <w:numPr>
                          <w:ilvl w:val="0"/>
                          <w:numId w:val="5"/>
                        </w:numPr>
                        <w:rPr>
                          <w:lang w:val="en-US" w:eastAsia="x-none"/>
                        </w:rPr>
                      </w:pPr>
                      <w:r>
                        <w:rPr>
                          <w:color w:val="000000"/>
                          <w:lang w:val="en-US" w:eastAsia="x-none"/>
                        </w:rPr>
                        <w:t>Note: Single-indicator means that one value in the interval [0, 1] is used for the LoS/NLoS indication</w:t>
                      </w:r>
                    </w:p>
                    <w:p>
                      <w:pPr>
                        <w:pStyle w:val="FrameContents"/>
                        <w:rPr>
                          <w:color w:val="000000"/>
                        </w:rPr>
                      </w:pPr>
                      <w:r>
                        <w:rPr>
                          <w:color w:val="000000"/>
                        </w:rPr>
                      </w:r>
                    </w:p>
                  </w:txbxContent>
                </v:textbox>
              </v:rect>
            </w:pict>
          </mc:Fallback>
        </mc:AlternateContent>
      </w:r>
      <w:r>
        <w:rPr>
          <w:lang w:eastAsia="x-none"/>
        </w:rPr>
        <w:t>LOS/NLOS Soft Indicators</w:t>
      </w:r>
    </w:p>
    <w:p>
      <w:pPr>
        <w:pStyle w:val="Normal"/>
        <w:jc w:val="both"/>
        <w:rPr/>
      </w:pPr>
      <w:r>
        <w:rPr>
          <w:sz w:val="24"/>
          <w:szCs w:val="32"/>
          <w:lang w:val="en-US" w:eastAsia="x-none"/>
        </w:rPr>
        <w:t>LOS/NLOS soft indicators are useful in improving the positioning performance as shown in</w:t>
      </w:r>
      <w:r>
        <w:rPr>
          <w:sz w:val="24"/>
          <w:szCs w:val="32"/>
        </w:rPr>
        <w:t xml:space="preserve"> </w:t>
      </w:r>
      <w:r>
        <w:rPr>
          <w:sz w:val="24"/>
          <w:szCs w:val="32"/>
        </w:rPr>
        <w:fldChar w:fldCharType="begin"/>
      </w:r>
      <w:r>
        <w:rPr>
          <w:sz w:val="24"/>
          <w:szCs w:val="32"/>
        </w:rPr>
        <w:instrText> REF _Ref84010548 \h </w:instrText>
      </w:r>
      <w:r>
        <w:rPr>
          <w:sz w:val="24"/>
          <w:szCs w:val="32"/>
        </w:rPr>
        <w:fldChar w:fldCharType="separate"/>
      </w:r>
      <w:r>
        <w:rPr>
          <w:sz w:val="24"/>
          <w:szCs w:val="32"/>
        </w:rPr>
        <w:t>Figure 1</w:t>
      </w:r>
      <w:r>
        <w:rPr>
          <w:sz w:val="24"/>
          <w:szCs w:val="32"/>
        </w:rPr>
        <w:fldChar w:fldCharType="end"/>
      </w:r>
      <w:r>
        <w:rPr>
          <w:sz w:val="24"/>
          <w:szCs w:val="32"/>
          <w:lang w:val="en-US" w:eastAsia="x-none"/>
        </w:rPr>
        <w:t>. Simulation is performed for IIoT -SH scenarios and it clearly shows that LOS/NLOS will improve the positioning accuracy compared to random selection and outlier detection technique. This indicator denotes the confidence the receiver has about the state (LOS/NLOS) of a link which allows the LMF in shortlisting the most accurate measurements for positioning.</w:t>
      </w:r>
    </w:p>
    <w:p>
      <w:pPr>
        <w:pStyle w:val="Normal"/>
        <w:jc w:val="both"/>
        <w:rPr/>
      </w:pPr>
      <w:r>
        <w:rPr>
          <w:sz w:val="24"/>
          <w:szCs w:val="32"/>
          <w:lang w:val="en-US" w:eastAsia="x-none"/>
        </w:rPr>
        <w:t>The LOS/NLOS indicator is allowed to take values from a discrete set. The large size of this set can pose high reporting overhead. On the other hand, very small set (such as binary values) may not convey enough information to differentiate between the quality of different measurements at the LMF for positioning. Hence, we support that LOS/NLOS indicator should be reported using 2 or 3 bits.</w:t>
      </w:r>
    </w:p>
    <w:p>
      <w:pPr>
        <w:pStyle w:val="Normal"/>
        <w:jc w:val="both"/>
        <w:rPr>
          <w:sz w:val="24"/>
          <w:szCs w:val="32"/>
          <w:lang w:val="en-US" w:eastAsia="x-none"/>
        </w:rPr>
      </w:pPr>
      <w:r>
        <w:rPr/>
      </w:r>
    </w:p>
    <w:p>
      <w:pPr>
        <w:pStyle w:val="Normal"/>
        <w:jc w:val="both"/>
        <w:rPr/>
      </w:pPr>
      <w:r>
        <w:rPr>
          <w:b/>
          <w:bCs/>
          <w:sz w:val="24"/>
          <w:szCs w:val="32"/>
          <w:lang w:val="en-US" w:eastAsia="x-none"/>
        </w:rPr>
        <w:t>Proposal 1</w:t>
      </w:r>
      <w:r>
        <w:rPr>
          <w:sz w:val="24"/>
          <w:szCs w:val="32"/>
          <w:lang w:val="en-US" w:eastAsia="x-none"/>
        </w:rPr>
        <w:t>:  The LOS/NLOS indicator should be allowed to take values from a discrete set of cardinality 4 or 8.</w:t>
      </w:r>
    </w:p>
    <w:p>
      <w:pPr>
        <w:pStyle w:val="Normal"/>
        <w:spacing w:before="10613" w:after="0"/>
        <w:jc w:val="both"/>
        <w:rPr>
          <w:sz w:val="24"/>
          <w:szCs w:val="32"/>
          <w:lang w:val="en-US" w:eastAsia="x-none"/>
        </w:rPr>
      </w:pPr>
      <w:r>
        <w:rPr>
          <w:sz w:val="24"/>
          <w:szCs w:val="32"/>
          <w:lang w:val="en-US" w:eastAsia="x-none"/>
        </w:rPr>
        <mc:AlternateContent>
          <mc:Choice Requires="wpg">
            <w:drawing>
              <wp:anchor behindDoc="0" distT="0" distB="0" distL="114300" distR="114300" simplePos="0" locked="0" layoutInCell="1" allowOverlap="1" relativeHeight="4" wp14:anchorId="0A5D4103">
                <wp:simplePos x="0" y="0"/>
                <wp:positionH relativeFrom="margin">
                  <wp:align>right</wp:align>
                </wp:positionH>
                <wp:positionV relativeFrom="paragraph">
                  <wp:posOffset>226060</wp:posOffset>
                </wp:positionV>
                <wp:extent cx="5944235" cy="3222625"/>
                <wp:effectExtent l="0" t="0" r="0" b="0"/>
                <wp:wrapTopAndBottom/>
                <wp:docPr id="6" name="Group 6"/>
                <a:graphic xmlns:a="http://schemas.openxmlformats.org/drawingml/2006/main">
                  <a:graphicData uri="http://schemas.microsoft.com/office/word/2010/wordprocessingGroup">
                    <wpg:wgp>
                      <wpg:cNvGrpSpPr/>
                      <wpg:grpSpPr>
                        <a:xfrm>
                          <a:off x="0" y="0"/>
                          <a:ext cx="5943600" cy="3222000"/>
                        </a:xfrm>
                      </wpg:grpSpPr>
                      <pic:pic xmlns:pic="http://schemas.openxmlformats.org/drawingml/2006/picture">
                        <pic:nvPicPr>
                          <pic:cNvPr id="0" name="Picture 6" descr=""/>
                          <pic:cNvPicPr/>
                        </pic:nvPicPr>
                        <pic:blipFill>
                          <a:blip r:embed="rId2"/>
                          <a:stretch/>
                        </pic:blipFill>
                        <pic:spPr>
                          <a:xfrm>
                            <a:off x="0" y="0"/>
                            <a:ext cx="5943600" cy="3222000"/>
                          </a:xfrm>
                          <a:prstGeom prst="rect">
                            <a:avLst/>
                          </a:prstGeom>
                          <a:ln>
                            <a:noFill/>
                          </a:ln>
                        </pic:spPr>
                      </pic:pic>
                    </wpg:wgp>
                  </a:graphicData>
                </a:graphic>
              </wp:anchor>
            </w:drawing>
          </mc:Choice>
          <mc:Fallback>
            <w:pict>
              <v:group id="shape_0" alt="Group 6" style="position:absolute;margin-left:-9.05pt;margin-top:17.8pt;width:468pt;height:253.7pt" coordorigin="-181,356" coordsize="9360,5074">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cture 6" stroked="f" style="position:absolute;left:-181;top:356;width:9359;height:5073;mso-position-horizontal:right;mso-position-horizontal-relative:margin" type="shapetype_75">
                  <v:imagedata r:id="rId2" o:detectmouseclick="t"/>
                  <w10:wrap type="none"/>
                  <v:stroke color="#3465a4" joinstyle="round" endcap="flat"/>
                </v:shape>
              </v:group>
            </w:pict>
          </mc:Fallback>
        </mc:AlternateContent>
        <mc:AlternateContent>
          <mc:Choice Requires="wps">
            <w:drawing>
              <wp:anchor behindDoc="0" distT="0" distB="0" distL="114300" distR="113665" simplePos="0" locked="0" layoutInCell="1" allowOverlap="1" relativeHeight="7" wp14:anchorId="46CCDC0D">
                <wp:simplePos x="0" y="0"/>
                <wp:positionH relativeFrom="margin">
                  <wp:posOffset>-635</wp:posOffset>
                </wp:positionH>
                <wp:positionV relativeFrom="paragraph">
                  <wp:posOffset>3505200</wp:posOffset>
                </wp:positionV>
                <wp:extent cx="6125210" cy="210185"/>
                <wp:effectExtent l="0" t="0" r="9525" b="0"/>
                <wp:wrapTopAndBottom/>
                <wp:docPr id="7" name="Text Box 8"/>
                <a:graphic xmlns:a="http://schemas.openxmlformats.org/drawingml/2006/main">
                  <a:graphicData uri="http://schemas.microsoft.com/office/word/2010/wordprocessingShape">
                    <wps:wsp>
                      <wps:cNvSpPr/>
                      <wps:spPr>
                        <a:xfrm>
                          <a:off x="0" y="0"/>
                          <a:ext cx="6124680" cy="209520"/>
                        </a:xfrm>
                        <a:prstGeom prst="rect">
                          <a:avLst/>
                        </a:prstGeom>
                        <a:solidFill>
                          <a:srgbClr val="ffffff"/>
                        </a:solidFill>
                        <a:ln>
                          <a:noFill/>
                        </a:ln>
                      </wps:spPr>
                      <wps:style>
                        <a:lnRef idx="0"/>
                        <a:fillRef idx="0"/>
                        <a:effectRef idx="0"/>
                        <a:fontRef idx="minor"/>
                      </wps:style>
                      <wps:txbx>
                        <w:txbxContent>
                          <w:p>
                            <w:pPr>
                              <w:pStyle w:val="Caption1"/>
                              <w:spacing w:before="120" w:after="120"/>
                              <w:rPr>
                                <w:color w:val="auto"/>
                              </w:rPr>
                            </w:pPr>
                            <w:bookmarkStart w:id="2" w:name="_Ref84010548"/>
                            <w:r>
                              <w:rPr>
                                <w:color w:val="auto"/>
                                <w:sz w:val="20"/>
                                <w:szCs w:val="20"/>
                              </w:rPr>
                              <w:t xml:space="preserve">Figure </w:t>
                            </w:r>
                            <w:r>
                              <w:rPr>
                                <w:color w:val="auto"/>
                                <w:sz w:val="20"/>
                                <w:szCs w:val="20"/>
                              </w:rPr>
                              <w:fldChar w:fldCharType="begin"/>
                            </w:r>
                            <w:r>
                              <w:rPr>
                                <w:sz w:val="20"/>
                                <w:szCs w:val="20"/>
                              </w:rPr>
                              <w:instrText> SEQ Figure \* ARABIC </w:instrText>
                            </w:r>
                            <w:r>
                              <w:rPr>
                                <w:sz w:val="20"/>
                                <w:szCs w:val="20"/>
                              </w:rPr>
                              <w:fldChar w:fldCharType="separate"/>
                            </w:r>
                            <w:r>
                              <w:rPr>
                                <w:sz w:val="20"/>
                                <w:szCs w:val="20"/>
                              </w:rPr>
                              <w:t>1</w:t>
                            </w:r>
                            <w:r>
                              <w:rPr>
                                <w:sz w:val="20"/>
                                <w:szCs w:val="20"/>
                              </w:rPr>
                              <w:fldChar w:fldCharType="end"/>
                            </w:r>
                            <w:bookmarkEnd w:id="2"/>
                            <w:r>
                              <w:rPr>
                                <w:color w:val="auto"/>
                                <w:sz w:val="20"/>
                                <w:szCs w:val="20"/>
                              </w:rPr>
                              <w:t>: Performance evaluation for LOS hard indicators and outlier detection method for InF-SH scenario.</w:t>
                            </w:r>
                          </w:p>
                        </w:txbxContent>
                      </wps:txbx>
                      <wps:bodyPr lIns="0" rIns="0" tIns="0" bIns="0">
                        <a:prstTxWarp prst="textNoShape"/>
                        <a:spAutoFit/>
                      </wps:bodyPr>
                    </wps:wsp>
                  </a:graphicData>
                </a:graphic>
              </wp:anchor>
            </w:drawing>
          </mc:Choice>
          <mc:Fallback>
            <w:pict>
              <v:rect id="shape_0" ID="Text Box 8" fillcolor="white" stroked="f" style="position:absolute;margin-left:-0.05pt;margin-top:276pt;width:482.2pt;height:16.45pt;mso-position-horizontal-relative:margin" wp14:anchorId="46CCDC0D">
                <w10:wrap type="square"/>
                <v:fill o:detectmouseclick="t" type="solid" color2="black"/>
                <v:stroke color="#3465a4" joinstyle="round" endcap="flat"/>
                <v:textbox>
                  <w:txbxContent>
                    <w:p>
                      <w:pPr>
                        <w:pStyle w:val="Caption1"/>
                        <w:spacing w:before="120" w:after="120"/>
                        <w:rPr>
                          <w:color w:val="auto"/>
                        </w:rPr>
                      </w:pPr>
                      <w:bookmarkStart w:id="3" w:name="_Ref84010548"/>
                      <w:r>
                        <w:rPr>
                          <w:color w:val="auto"/>
                          <w:sz w:val="20"/>
                          <w:szCs w:val="20"/>
                        </w:rPr>
                        <w:t xml:space="preserve">Figure </w:t>
                      </w:r>
                      <w:r>
                        <w:rPr>
                          <w:color w:val="auto"/>
                          <w:sz w:val="20"/>
                          <w:szCs w:val="20"/>
                        </w:rPr>
                        <w:fldChar w:fldCharType="begin"/>
                      </w:r>
                      <w:r>
                        <w:rPr>
                          <w:sz w:val="20"/>
                          <w:szCs w:val="20"/>
                        </w:rPr>
                        <w:instrText> SEQ Figure \* ARABIC </w:instrText>
                      </w:r>
                      <w:r>
                        <w:rPr>
                          <w:sz w:val="20"/>
                          <w:szCs w:val="20"/>
                        </w:rPr>
                        <w:fldChar w:fldCharType="separate"/>
                      </w:r>
                      <w:r>
                        <w:rPr>
                          <w:sz w:val="20"/>
                          <w:szCs w:val="20"/>
                        </w:rPr>
                        <w:t>1</w:t>
                      </w:r>
                      <w:r>
                        <w:rPr>
                          <w:sz w:val="20"/>
                          <w:szCs w:val="20"/>
                        </w:rPr>
                        <w:fldChar w:fldCharType="end"/>
                      </w:r>
                      <w:bookmarkEnd w:id="3"/>
                      <w:r>
                        <w:rPr>
                          <w:color w:val="auto"/>
                          <w:sz w:val="20"/>
                          <w:szCs w:val="20"/>
                        </w:rPr>
                        <w:t>: Performance evaluation for LOS hard indicators and outlier detection method for InF-SH scenario.</w:t>
                      </w:r>
                    </w:p>
                  </w:txbxContent>
                </v:textbox>
              </v:rect>
            </w:pict>
          </mc:Fallback>
        </mc:AlternateContent>
      </w:r>
      <w:bookmarkStart w:id="4" w:name="_Hlk80976305"/>
      <w:bookmarkStart w:id="5" w:name="_Hlk80976305"/>
      <w:bookmarkEnd w:id="5"/>
    </w:p>
    <w:p>
      <w:pPr>
        <w:pStyle w:val="Normal"/>
        <w:pBdr>
          <w:bottom w:val="single" w:sz="4" w:space="1" w:color="00000A"/>
        </w:pBdr>
        <w:jc w:val="both"/>
        <w:rPr>
          <w:lang w:val="en-US" w:eastAsia="x-none"/>
        </w:rPr>
      </w:pPr>
      <w:r>
        <w:rPr>
          <w:lang w:val="en-US" w:eastAsia="x-none"/>
        </w:rPr>
      </w:r>
    </w:p>
    <w:p>
      <w:pPr>
        <w:pStyle w:val="Heading1"/>
        <w:numPr>
          <w:ilvl w:val="0"/>
          <w:numId w:val="2"/>
        </w:numPr>
        <w:rPr/>
      </w:pPr>
      <w:r>
        <w:rPr>
          <w:lang w:eastAsia="x-none"/>
        </w:rPr>
        <w:t xml:space="preserve">Additional path reporting </w:t>
      </w:r>
    </w:p>
    <w:p>
      <w:pPr>
        <w:pStyle w:val="Normal"/>
        <w:pBdr>
          <w:bottom w:val="single" w:sz="4" w:space="1" w:color="00000A"/>
        </w:pBdr>
        <w:jc w:val="both"/>
        <w:rPr/>
      </w:pPr>
      <w:r>
        <w:rPr>
          <w:sz w:val="24"/>
          <w:szCs w:val="32"/>
          <w:lang w:val="en-US" w:eastAsia="x-none"/>
        </w:rPr>
        <w:t xml:space="preserve">In NLOS scenarios, the individual measurements don’t provide the required positioning accuracy. In such cases, the UE or BS can estimate the multipath measurements and report it to the LMF which can combine these measurements with other information such as geometric, camera/LIDAR to yield a better performance in comparison to positioning based on NLOS measurements. The measurements include angle, time, and power for each path. For DL positioning, UE should report RSRP, delay and UE-AoA for each additional path. Similarly for UL based positioning, gNB should report UL-AoA, RSRP and delay for each additional path. Further, we support that up to 16 additional paths should be reported from UE/gNB to the LMF for UE assisted or UE based positioning.   </w:t>
      </w:r>
    </w:p>
    <w:p>
      <w:pPr>
        <w:pStyle w:val="Normal"/>
        <w:jc w:val="both"/>
        <w:rPr/>
      </w:pPr>
      <w:r>
        <w:rPr>
          <w:sz w:val="24"/>
          <w:szCs w:val="32"/>
          <w:lang w:val="en-US" w:eastAsia="x-none"/>
        </w:rPr>
        <w:t xml:space="preserve">Furthermore, the orientation information of the UE or the LCS to GCS mapping for the UE is required to extract the best out of the UE-AoA estimates. However, the LMF can estimate this LCS to GCS mapping of UE if either of the following information is available at it: </w:t>
      </w:r>
    </w:p>
    <w:p>
      <w:pPr>
        <w:pStyle w:val="ListParagraph"/>
        <w:numPr>
          <w:ilvl w:val="0"/>
          <w:numId w:val="10"/>
        </w:numPr>
        <w:jc w:val="both"/>
        <w:rPr/>
      </w:pPr>
      <w:r>
        <w:rPr>
          <w:rFonts w:cs="Times New Roman" w:ascii="Times New Roman" w:hAnsi="Times New Roman"/>
          <w:szCs w:val="32"/>
          <w:lang w:eastAsia="x-none"/>
        </w:rPr>
        <w:t>TRP location and UL-AoA (or DL-AoD), RToA measurements with respect to target UE for &gt;2 TRPs.</w:t>
      </w:r>
    </w:p>
    <w:p>
      <w:pPr>
        <w:pStyle w:val="ListParagraph"/>
        <w:numPr>
          <w:ilvl w:val="0"/>
          <w:numId w:val="10"/>
        </w:numPr>
        <w:jc w:val="both"/>
        <w:rPr/>
      </w:pPr>
      <w:r>
        <w:rPr>
          <w:rFonts w:cs="Times New Roman" w:ascii="Times New Roman" w:hAnsi="Times New Roman"/>
          <w:szCs w:val="32"/>
          <w:lang w:eastAsia="x-none"/>
        </w:rPr>
        <w:t>TRP location and coarse location of the target UE for &gt;2 TRPs.</w:t>
      </w:r>
    </w:p>
    <w:p>
      <w:pPr>
        <w:pStyle w:val="Normal"/>
        <w:pBdr>
          <w:bottom w:val="single" w:sz="4" w:space="1" w:color="00000A"/>
        </w:pBdr>
        <w:jc w:val="both"/>
        <w:rPr/>
      </w:pPr>
      <w:r>
        <w:rPr>
          <w:sz w:val="24"/>
          <w:szCs w:val="32"/>
          <w:lang w:val="en-US" w:eastAsia="x-none"/>
        </w:rPr>
        <w:t>Hence, in UE assisted positioning the LCS to GCS mapping of UE can be estimated at the LMF and for UE based positioning, the LMF should provide the LCS to GCS mapping of UE as an assistance information. Moreover, it doesn’t have a significant standardization impact.</w:t>
      </w:r>
    </w:p>
    <w:p>
      <w:pPr>
        <w:pStyle w:val="Normal"/>
        <w:pBdr>
          <w:bottom w:val="single" w:sz="4" w:space="1" w:color="00000A"/>
        </w:pBdr>
        <w:jc w:val="both"/>
        <w:rPr/>
      </w:pPr>
      <w:bookmarkStart w:id="6" w:name="move840150441"/>
      <w:r>
        <w:rPr>
          <w:sz w:val="24"/>
          <w:szCs w:val="32"/>
          <w:lang w:val="en-US" w:eastAsia="x-none"/>
        </w:rPr>
        <w:t xml:space="preserve">Similarly for UL based positioning, gNB should report UL-AoA, RSRP and delay for each additional path. Further, we support that up to 16 additional paths should be reported from UE/gNB to the LMF for UE assisted or UE based positioning.   </w:t>
      </w:r>
    </w:p>
    <w:p>
      <w:pPr>
        <w:pStyle w:val="Normal"/>
        <w:pBdr>
          <w:bottom w:val="single" w:sz="4" w:space="1" w:color="00000A"/>
        </w:pBdr>
        <w:jc w:val="both"/>
        <w:rPr>
          <w:sz w:val="24"/>
          <w:szCs w:val="32"/>
          <w:lang w:val="en-US" w:eastAsia="x-none"/>
        </w:rPr>
      </w:pPr>
      <w:r>
        <w:rPr/>
      </w:r>
    </w:p>
    <w:p>
      <w:pPr>
        <w:pStyle w:val="Normal"/>
        <w:pBdr>
          <w:bottom w:val="single" w:sz="4" w:space="1" w:color="00000A"/>
        </w:pBdr>
        <w:jc w:val="both"/>
        <w:rPr/>
      </w:pPr>
      <w:r>
        <w:rPr>
          <w:rFonts w:ascii="Times New Roman" w:hAnsi="Times New Roman"/>
          <w:b/>
          <w:bCs/>
          <w:sz w:val="24"/>
        </w:rPr>
        <w:t>Observation-1</w:t>
      </w:r>
      <w:r>
        <w:rPr>
          <w:rFonts w:ascii="Times New Roman" w:hAnsi="Times New Roman"/>
          <w:sz w:val="24"/>
        </w:rPr>
        <w:t xml:space="preserve">: To use UE-path-AoA, </w:t>
      </w:r>
      <w:r>
        <w:rPr>
          <w:rFonts w:ascii="Times New Roman" w:hAnsi="Times New Roman"/>
          <w:sz w:val="24"/>
          <w:lang w:val="en-US" w:eastAsia="x-none"/>
        </w:rPr>
        <w:t xml:space="preserve">the LCS to GCS mapping of UE is crucial which can be estimated at the LMF </w:t>
      </w:r>
      <w:r>
        <w:rPr>
          <w:rFonts w:ascii="Times New Roman" w:hAnsi="Times New Roman"/>
          <w:sz w:val="24"/>
        </w:rPr>
        <w:t xml:space="preserve"> </w:t>
      </w:r>
      <w:r>
        <w:rPr>
          <w:rFonts w:ascii="Times New Roman" w:hAnsi="Times New Roman"/>
          <w:sz w:val="24"/>
          <w:lang w:val="en-US" w:eastAsia="x-none"/>
        </w:rPr>
        <w:t xml:space="preserve"> </w:t>
      </w:r>
      <w:bookmarkEnd w:id="6"/>
    </w:p>
    <w:p>
      <w:pPr>
        <w:pStyle w:val="Normal"/>
        <w:pBdr>
          <w:bottom w:val="single" w:sz="4" w:space="1" w:color="00000A"/>
        </w:pBdr>
        <w:jc w:val="both"/>
        <w:rPr/>
      </w:pPr>
      <w:bookmarkStart w:id="7" w:name="__DdeLink__7275_3172109152"/>
      <w:r>
        <w:rPr>
          <w:b/>
          <w:bCs/>
          <w:sz w:val="24"/>
          <w:szCs w:val="32"/>
          <w:lang w:val="en-US" w:eastAsia="x-none"/>
        </w:rPr>
        <w:t>Proposal-2</w:t>
      </w:r>
      <w:r>
        <w:rPr>
          <w:sz w:val="24"/>
          <w:szCs w:val="32"/>
          <w:lang w:val="en-US" w:eastAsia="x-none"/>
        </w:rPr>
        <w:t>: For multipath mitigation, reporting of path specific RSRP, delay and angle of arrival for both UL and DL based schemes for every SRS/PRS resource configured.</w:t>
      </w:r>
    </w:p>
    <w:p>
      <w:pPr>
        <w:pStyle w:val="Normal"/>
        <w:pBdr>
          <w:bottom w:val="single" w:sz="4" w:space="1" w:color="00000A"/>
        </w:pBdr>
        <w:jc w:val="both"/>
        <w:rPr>
          <w:sz w:val="24"/>
          <w:szCs w:val="32"/>
          <w:lang w:val="en-US" w:eastAsia="x-none"/>
        </w:rPr>
      </w:pPr>
      <w:r>
        <w:rPr/>
      </w:r>
    </w:p>
    <w:p>
      <w:pPr>
        <w:pStyle w:val="Normal"/>
        <w:pBdr>
          <w:bottom w:val="single" w:sz="4" w:space="1" w:color="00000A"/>
        </w:pBdr>
        <w:jc w:val="both"/>
        <w:rPr/>
      </w:pPr>
      <w:r>
        <w:rPr>
          <w:b/>
          <w:bCs/>
          <w:sz w:val="24"/>
          <w:szCs w:val="32"/>
          <w:lang w:val="en-US" w:eastAsia="x-none"/>
        </w:rPr>
        <w:t>Proposal-3</w:t>
      </w:r>
      <w:r>
        <w:rPr>
          <w:sz w:val="24"/>
          <w:szCs w:val="32"/>
          <w:lang w:val="en-US" w:eastAsia="x-none"/>
        </w:rPr>
        <w:t>: For UE based positioning, the LMF should provide the LCS to GCS mapping of UE as an assistance information.</w:t>
      </w:r>
    </w:p>
    <w:p>
      <w:pPr>
        <w:pStyle w:val="Normal"/>
        <w:pBdr>
          <w:bottom w:val="single" w:sz="4" w:space="1" w:color="00000A"/>
        </w:pBdr>
        <w:jc w:val="both"/>
        <w:rPr>
          <w:sz w:val="24"/>
          <w:szCs w:val="32"/>
          <w:lang w:val="en-US" w:eastAsia="x-none"/>
        </w:rPr>
      </w:pPr>
      <w:r>
        <w:rPr>
          <w:sz w:val="24"/>
          <w:szCs w:val="32"/>
          <w:lang w:val="en-US" w:eastAsia="x-none"/>
        </w:rPr>
      </w:r>
    </w:p>
    <w:p>
      <w:pPr>
        <w:pStyle w:val="Normal"/>
        <w:pBdr>
          <w:bottom w:val="single" w:sz="4" w:space="1" w:color="00000A"/>
        </w:pBdr>
        <w:jc w:val="both"/>
        <w:rPr/>
      </w:pPr>
      <w:r>
        <w:rPr>
          <w:b/>
          <w:bCs/>
          <w:sz w:val="24"/>
          <w:szCs w:val="32"/>
          <w:lang w:val="en-US" w:eastAsia="x-none"/>
        </w:rPr>
        <w:t>Proposal 4</w:t>
      </w:r>
      <w:r>
        <w:rPr>
          <w:sz w:val="24"/>
          <w:szCs w:val="32"/>
          <w:lang w:val="en-US" w:eastAsia="x-none"/>
        </w:rPr>
        <w:t>: For multipath mitigation, reporting of up to 16 additional paths should be supported for measurement reports from UE to LMF and from TRP to LMF.</w:t>
      </w:r>
      <w:bookmarkEnd w:id="7"/>
    </w:p>
    <w:p>
      <w:pPr>
        <w:pStyle w:val="Normal"/>
        <w:pBdr>
          <w:bottom w:val="single" w:sz="4" w:space="1" w:color="00000A"/>
        </w:pBdr>
        <w:jc w:val="both"/>
        <w:rPr>
          <w:sz w:val="24"/>
          <w:szCs w:val="32"/>
          <w:lang w:val="en-US" w:eastAsia="x-none"/>
        </w:rPr>
      </w:pPr>
      <w:r>
        <w:rPr>
          <w:sz w:val="24"/>
          <w:szCs w:val="32"/>
          <w:lang w:val="en-US" w:eastAsia="x-none"/>
        </w:rPr>
      </w:r>
    </w:p>
    <w:p>
      <w:pPr>
        <w:pStyle w:val="Heading1"/>
        <w:numPr>
          <w:ilvl w:val="0"/>
          <w:numId w:val="2"/>
        </w:numPr>
        <w:rPr/>
      </w:pPr>
      <w:r>
        <w:rPr>
          <w:lang w:eastAsia="x-none"/>
        </w:rPr>
        <w:t>Conclusion</w:t>
      </w:r>
    </w:p>
    <w:p>
      <w:pPr>
        <w:pStyle w:val="Normal"/>
        <w:jc w:val="both"/>
        <w:rPr/>
      </w:pPr>
      <w:r>
        <w:rPr>
          <w:sz w:val="24"/>
          <w:szCs w:val="32"/>
          <w:lang w:val="en-US" w:eastAsia="x-none"/>
        </w:rPr>
        <w:t>The reporting of path-RSRP, path-AoA, path-RTOA should be supported in both UL and DL and UL-DL methods for both first path and additional paths. The multipath reporting not only help in the identification of NLOS but also reduce the effect of NLOS-bias based on multipath positioning. These parameters should be reported at resource level along with the UE orientation.</w:t>
      </w:r>
    </w:p>
    <w:p>
      <w:pPr>
        <w:pStyle w:val="Normal"/>
        <w:jc w:val="both"/>
        <w:rPr/>
      </w:pPr>
      <w:r>
        <w:rPr>
          <w:sz w:val="24"/>
          <w:szCs w:val="32"/>
          <w:lang w:val="en-US" w:eastAsia="x-none"/>
        </w:rPr>
        <w:t xml:space="preserve"> </w:t>
      </w:r>
    </w:p>
    <w:p>
      <w:pPr>
        <w:pStyle w:val="Normal"/>
        <w:jc w:val="both"/>
        <w:rPr/>
      </w:pPr>
      <w:r>
        <w:rPr>
          <w:rFonts w:ascii="Times New Roman" w:hAnsi="Times New Roman"/>
          <w:b/>
          <w:bCs/>
          <w:sz w:val="24"/>
        </w:rPr>
        <w:t>Observation-1</w:t>
      </w:r>
      <w:r>
        <w:rPr>
          <w:rFonts w:ascii="Times New Roman" w:hAnsi="Times New Roman"/>
          <w:sz w:val="24"/>
        </w:rPr>
        <w:t xml:space="preserve">: To use UE-path-AoA, </w:t>
      </w:r>
      <w:r>
        <w:rPr>
          <w:rFonts w:ascii="Times New Roman" w:hAnsi="Times New Roman"/>
          <w:sz w:val="24"/>
          <w:lang w:val="en-US" w:eastAsia="x-none"/>
        </w:rPr>
        <w:t>the LCS to GCS mapping of UE is crucial which can be estimated at the LMF.</w:t>
      </w:r>
    </w:p>
    <w:p>
      <w:pPr>
        <w:pStyle w:val="Normal"/>
        <w:jc w:val="both"/>
        <w:rPr>
          <w:lang w:val="en-US" w:eastAsia="x-none"/>
        </w:rPr>
      </w:pPr>
      <w:r>
        <w:rPr>
          <w:lang w:val="en-US" w:eastAsia="x-none"/>
        </w:rPr>
      </w:r>
    </w:p>
    <w:p>
      <w:pPr>
        <w:pStyle w:val="Normal"/>
        <w:jc w:val="both"/>
        <w:rPr/>
      </w:pPr>
      <w:r>
        <w:rPr>
          <w:b/>
          <w:bCs/>
          <w:sz w:val="24"/>
          <w:szCs w:val="32"/>
          <w:lang w:val="en-US" w:eastAsia="x-none"/>
        </w:rPr>
        <w:t>Proposal 1</w:t>
      </w:r>
      <w:r>
        <w:rPr>
          <w:sz w:val="24"/>
          <w:szCs w:val="32"/>
          <w:lang w:val="en-US" w:eastAsia="x-none"/>
        </w:rPr>
        <w:t>:  The LOS/NLOS indicator should be allowed to take values from a discrete set of cardinality 4 or 8.</w:t>
      </w:r>
    </w:p>
    <w:p>
      <w:pPr>
        <w:pStyle w:val="Normal"/>
        <w:jc w:val="both"/>
        <w:rPr>
          <w:sz w:val="24"/>
          <w:szCs w:val="32"/>
        </w:rPr>
      </w:pPr>
      <w:r>
        <w:rPr>
          <w:sz w:val="24"/>
          <w:szCs w:val="32"/>
        </w:rPr>
      </w:r>
    </w:p>
    <w:p>
      <w:pPr>
        <w:pStyle w:val="Normal"/>
        <w:pBdr>
          <w:bottom w:val="single" w:sz="4" w:space="1" w:color="00000A"/>
        </w:pBdr>
        <w:jc w:val="both"/>
        <w:rPr/>
      </w:pPr>
      <w:r>
        <w:rPr>
          <w:b/>
          <w:bCs/>
          <w:sz w:val="24"/>
          <w:szCs w:val="32"/>
          <w:lang w:val="en-US" w:eastAsia="x-none"/>
        </w:rPr>
        <w:t>Proposal-2</w:t>
      </w:r>
      <w:r>
        <w:rPr>
          <w:sz w:val="24"/>
          <w:szCs w:val="32"/>
          <w:lang w:val="en-US" w:eastAsia="x-none"/>
        </w:rPr>
        <w:t>: For multipath mitigation, reporting of path specific RSRP, delay and angle of arrival for both UL and DL based schemes for every SRS/PRS resource configured.</w:t>
      </w:r>
    </w:p>
    <w:p>
      <w:pPr>
        <w:pStyle w:val="Normal"/>
        <w:pBdr>
          <w:bottom w:val="single" w:sz="4" w:space="1" w:color="00000A"/>
        </w:pBdr>
        <w:jc w:val="both"/>
        <w:rPr>
          <w:sz w:val="24"/>
          <w:szCs w:val="32"/>
          <w:lang w:val="en-US" w:eastAsia="x-none"/>
        </w:rPr>
      </w:pPr>
      <w:r>
        <w:rPr>
          <w:sz w:val="24"/>
          <w:szCs w:val="32"/>
          <w:lang w:val="en-US" w:eastAsia="x-none"/>
        </w:rPr>
      </w:r>
    </w:p>
    <w:p>
      <w:pPr>
        <w:pStyle w:val="Normal"/>
        <w:pBdr>
          <w:bottom w:val="single" w:sz="4" w:space="1" w:color="00000A"/>
        </w:pBdr>
        <w:jc w:val="both"/>
        <w:rPr/>
      </w:pPr>
      <w:r>
        <w:rPr>
          <w:b/>
          <w:bCs/>
          <w:sz w:val="24"/>
          <w:szCs w:val="32"/>
          <w:lang w:val="en-US" w:eastAsia="x-none"/>
        </w:rPr>
        <w:t>Proposal-3</w:t>
      </w:r>
      <w:r>
        <w:rPr>
          <w:sz w:val="24"/>
          <w:szCs w:val="32"/>
          <w:lang w:val="en-US" w:eastAsia="x-none"/>
        </w:rPr>
        <w:t>: For UE based positioning, the LMF should provide the LCS to GCS mapping of UE as an assistance information.</w:t>
      </w:r>
    </w:p>
    <w:p>
      <w:pPr>
        <w:pStyle w:val="Normal"/>
        <w:pBdr>
          <w:bottom w:val="single" w:sz="4" w:space="1" w:color="00000A"/>
        </w:pBdr>
        <w:jc w:val="both"/>
        <w:rPr>
          <w:sz w:val="24"/>
          <w:szCs w:val="32"/>
          <w:lang w:val="en-US" w:eastAsia="x-none"/>
        </w:rPr>
      </w:pPr>
      <w:r>
        <w:rPr>
          <w:sz w:val="24"/>
          <w:szCs w:val="32"/>
          <w:lang w:val="en-US" w:eastAsia="x-none"/>
        </w:rPr>
      </w:r>
    </w:p>
    <w:p>
      <w:pPr>
        <w:pStyle w:val="Normal"/>
        <w:pBdr>
          <w:bottom w:val="single" w:sz="4" w:space="1" w:color="00000A"/>
        </w:pBdr>
        <w:jc w:val="both"/>
        <w:rPr/>
      </w:pPr>
      <w:r>
        <w:rPr>
          <w:b/>
          <w:bCs/>
          <w:sz w:val="24"/>
          <w:szCs w:val="32"/>
          <w:lang w:val="en-US" w:eastAsia="x-none"/>
        </w:rPr>
        <w:t>Proposal 4</w:t>
      </w:r>
      <w:r>
        <w:rPr>
          <w:sz w:val="24"/>
          <w:szCs w:val="32"/>
          <w:lang w:val="en-US" w:eastAsia="x-none"/>
        </w:rPr>
        <w:t>: For multipath mitigation, reporting of up to 16 additional paths should be supported for measurement reports from UE to LMF and from TRP to LMF.</w:t>
      </w:r>
    </w:p>
    <w:p>
      <w:pPr>
        <w:pStyle w:val="Normal"/>
        <w:pBdr>
          <w:bottom w:val="single" w:sz="4" w:space="1" w:color="00000A"/>
        </w:pBdr>
        <w:jc w:val="both"/>
        <w:rPr>
          <w:sz w:val="24"/>
          <w:szCs w:val="32"/>
          <w:lang w:val="en-US" w:eastAsia="x-none"/>
        </w:rPr>
      </w:pPr>
      <w:r>
        <w:rPr>
          <w:sz w:val="24"/>
          <w:szCs w:val="32"/>
        </w:rPr>
      </w:r>
    </w:p>
    <w:p>
      <w:pPr>
        <w:pStyle w:val="Normal"/>
        <w:pBdr>
          <w:bottom w:val="single" w:sz="4" w:space="1" w:color="00000A"/>
        </w:pBdr>
        <w:jc w:val="both"/>
        <w:rPr/>
      </w:pPr>
      <w:r>
        <w:rPr/>
      </w:r>
    </w:p>
    <w:p>
      <w:pPr>
        <w:pStyle w:val="Heading1"/>
        <w:numPr>
          <w:ilvl w:val="0"/>
          <w:numId w:val="2"/>
        </w:numPr>
        <w:rPr/>
      </w:pPr>
      <w:r>
        <w:rPr>
          <w:lang w:eastAsia="x-none"/>
        </w:rPr>
        <w:t>References</w:t>
      </w:r>
    </w:p>
    <w:p>
      <w:pPr>
        <w:pStyle w:val="ListParagraph"/>
        <w:widowControl w:val="false"/>
        <w:numPr>
          <w:ilvl w:val="0"/>
          <w:numId w:val="3"/>
        </w:numPr>
        <w:tabs>
          <w:tab w:val="left" w:pos="708" w:leader="none"/>
        </w:tabs>
        <w:spacing w:before="0" w:after="60"/>
        <w:jc w:val="both"/>
        <w:rPr/>
      </w:pPr>
      <w:hyperlink r:id="rId3">
        <w:r>
          <w:rPr>
            <w:rStyle w:val="ListLabel31"/>
            <w:rFonts w:cs="Times New Roman"/>
            <w:sz w:val="24"/>
            <w:szCs w:val="24"/>
          </w:rPr>
          <w:t>RP-202900</w:t>
        </w:r>
      </w:hyperlink>
      <w:r>
        <w:rPr>
          <w:rFonts w:cs="Times New Roman" w:ascii="Times New Roman" w:hAnsi="Times New Roman"/>
        </w:rPr>
        <w:t>, “New WID on NR Positioning Enhancements”, CATT, Intel Corporation, Ericsson.</w:t>
      </w:r>
    </w:p>
    <w:p>
      <w:pPr>
        <w:pStyle w:val="ListParagraph"/>
        <w:widowControl w:val="false"/>
        <w:numPr>
          <w:ilvl w:val="0"/>
          <w:numId w:val="3"/>
        </w:numPr>
        <w:tabs>
          <w:tab w:val="left" w:pos="708" w:leader="none"/>
        </w:tabs>
        <w:spacing w:before="0" w:after="60"/>
        <w:jc w:val="both"/>
        <w:rPr/>
      </w:pPr>
      <w:r>
        <w:rPr>
          <w:rFonts w:cs="Times New Roman" w:ascii="Times New Roman" w:hAnsi="Times New Roman"/>
        </w:rPr>
        <w:t>3GPP TS 38.455, “NR Positioning Protocol A (NRPPa)”</w:t>
      </w:r>
    </w:p>
    <w:p>
      <w:pPr>
        <w:pStyle w:val="Normal"/>
        <w:rPr/>
      </w:pPr>
      <w:r>
        <w:rPr>
          <w:rFonts w:ascii="Times New Roman" w:hAnsi="Times New Roman"/>
        </w:rPr>
        <w:t>R1-2108629</w:t>
        <w:tab/>
        <w:t xml:space="preserve"> Feature Lead Summary #4 for Potential multipath/NLOS mitigation</w:t>
        <w:tab/>
        <w:t>Moderator (Nokia)</w:t>
      </w:r>
    </w:p>
    <w:p>
      <w:pPr>
        <w:pStyle w:val="Normal"/>
        <w:rPr>
          <w:rFonts w:ascii="Times New Roman" w:hAnsi="Times New Roman"/>
          <w:lang w:eastAsia="x-none"/>
        </w:rPr>
      </w:pPr>
      <w:r>
        <w:rPr/>
      </w:r>
    </w:p>
    <w:p>
      <w:pPr>
        <w:pStyle w:val="Normal"/>
        <w:rPr>
          <w:rFonts w:ascii="Times New Roman" w:hAnsi="Times New Roman"/>
          <w:lang w:eastAsia="x-none"/>
        </w:rPr>
      </w:pPr>
      <w:r>
        <w:rPr/>
      </w:r>
    </w:p>
    <w:p>
      <w:pPr>
        <w:pStyle w:val="Heading1"/>
        <w:numPr>
          <w:ilvl w:val="0"/>
          <w:numId w:val="2"/>
        </w:numPr>
        <w:rPr/>
      </w:pPr>
      <w:r>
        <w:rPr>
          <w:lang w:eastAsia="x-none"/>
        </w:rPr>
        <w:t xml:space="preserve">Appendix: </w:t>
      </w:r>
      <w:r>
        <w:rPr>
          <w:lang w:eastAsia="x-none"/>
        </w:rPr>
        <w:t>Parameters considered for evaluations</w:t>
      </w:r>
    </w:p>
    <w:p>
      <w:pPr>
        <w:pStyle w:val="Normal"/>
        <w:jc w:val="both"/>
        <w:rPr>
          <w:lang w:val="en-US" w:eastAsia="x-none"/>
        </w:rPr>
      </w:pPr>
      <w:r>
        <w:rPr>
          <w:lang w:val="en-US" w:eastAsia="x-none"/>
        </w:rPr>
      </w:r>
    </w:p>
    <w:p>
      <w:pPr>
        <w:pStyle w:val="Normal"/>
        <w:jc w:val="both"/>
        <w:rPr/>
      </w:pPr>
      <w:r>
        <w:rPr/>
        <w:drawing>
          <wp:inline distT="0" distB="635" distL="0" distR="0">
            <wp:extent cx="5943600" cy="5142865"/>
            <wp:effectExtent l="0" t="0" r="0" b="0"/>
            <wp:docPr id="9" name="Picture 1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4" descr="Text&#10;&#10;Description automatically generated"/>
                    <pic:cNvPicPr>
                      <a:picLocks noChangeAspect="1" noChangeArrowheads="1"/>
                    </pic:cNvPicPr>
                  </pic:nvPicPr>
                  <pic:blipFill>
                    <a:blip r:embed="rId4"/>
                    <a:stretch>
                      <a:fillRect/>
                    </a:stretch>
                  </pic:blipFill>
                  <pic:spPr bwMode="auto">
                    <a:xfrm>
                      <a:off x="0" y="0"/>
                      <a:ext cx="5943600" cy="5142865"/>
                    </a:xfrm>
                    <a:prstGeom prst="rect">
                      <a:avLst/>
                    </a:prstGeom>
                  </pic:spPr>
                </pic:pic>
              </a:graphicData>
            </a:graphic>
          </wp:inline>
        </w:drawing>
      </w:r>
    </w:p>
    <w:sectPr>
      <w:type w:val="nextPage"/>
      <w:pgSz w:w="12240" w:h="15840"/>
      <w:pgMar w:left="1440" w:right="1440" w:header="0" w:top="1440" w:footer="0" w:bottom="1440" w:gutter="0"/>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w:altName w:val="Times New Roman"/>
    <w:charset w:val="01"/>
    <w:family w:val="roman"/>
    <w:pitch w:val="variable"/>
  </w:font>
  <w:font w:name="Times New Roman">
    <w:charset w:val="01"/>
    <w:family w:val="roman"/>
    <w:pitch w:val="variable"/>
  </w:font>
  <w:font w:name="Arial">
    <w:charset w:val="01"/>
    <w:family w:val="roman"/>
    <w:pitch w:val="variable"/>
  </w:font>
  <w:font w:name="SimSun">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rPr>
        <w:i w:val="false"/>
        <w:lang w:val="en-US"/>
      </w:rPr>
    </w:lvl>
    <w:lvl w:ilvl="1">
      <w:start w:val="1"/>
      <w:pStyle w:val="Heading2"/>
      <w:numFmt w:val="decimal"/>
      <w:lvlText w:val="%1.%2"/>
      <w:lvlJc w:val="left"/>
      <w:pPr>
        <w:tabs>
          <w:tab w:val="num" w:pos="576"/>
        </w:tabs>
        <w:ind w:left="576" w:hanging="576"/>
      </w:pPr>
      <w:rPr>
        <w:sz w:val="24"/>
        <w:i w:val="false"/>
        <w:b/>
        <w:effect w:val="none"/>
      </w:r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rPr>
        <w:i w:val="false"/>
        <w:lang w:val="en-US"/>
      </w:rPr>
    </w:lvl>
    <w:lvl w:ilvl="1">
      <w:start w:val="1"/>
      <w:numFmt w:val="decimal"/>
      <w:lvlText w:val="%1.%2"/>
      <w:lvlJc w:val="left"/>
      <w:pPr>
        <w:tabs>
          <w:tab w:val="num" w:pos="576"/>
        </w:tabs>
        <w:ind w:left="576" w:hanging="576"/>
      </w:pPr>
      <w:rPr>
        <w:sz w:val="24"/>
        <w:i w:val="false"/>
        <w:b/>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4">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abstractNum w:abstractNumId="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1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707ce"/>
    <w:pPr>
      <w:widowControl/>
      <w:bidi w:val="0"/>
      <w:jc w:val="left"/>
    </w:pPr>
    <w:rPr>
      <w:rFonts w:ascii="Times" w:hAnsi="Times" w:eastAsia="Batang" w:cs="Times New Roman"/>
      <w:color w:val="auto"/>
      <w:kern w:val="0"/>
      <w:sz w:val="20"/>
      <w:szCs w:val="24"/>
      <w:lang w:val="en-GB" w:eastAsia="en-US" w:bidi="ar-SA"/>
    </w:rPr>
  </w:style>
  <w:style w:type="paragraph" w:styleId="Heading1">
    <w:name w:val="Heading 1"/>
    <w:basedOn w:val="Normal"/>
    <w:next w:val="Normal"/>
    <w:link w:val="Heading1Char"/>
    <w:qFormat/>
    <w:rsid w:val="007707ce"/>
    <w:pPr>
      <w:keepNext w:val="true"/>
      <w:numPr>
        <w:ilvl w:val="0"/>
        <w:numId w:val="1"/>
      </w:numPr>
      <w:snapToGrid w:val="false"/>
      <w:spacing w:before="120" w:after="120"/>
      <w:jc w:val="both"/>
      <w:outlineLvl w:val="0"/>
    </w:pPr>
    <w:rPr>
      <w:rFonts w:ascii="Times New Roman" w:hAnsi="Times New Roman" w:eastAsia="SimSun"/>
      <w:b/>
      <w:bCs/>
      <w:sz w:val="28"/>
      <w:szCs w:val="28"/>
      <w:lang w:val="en-US"/>
    </w:rPr>
  </w:style>
  <w:style w:type="paragraph" w:styleId="Heading2">
    <w:name w:val="Heading 2"/>
    <w:basedOn w:val="Normal"/>
    <w:next w:val="Normal"/>
    <w:link w:val="Heading2Char"/>
    <w:qFormat/>
    <w:rsid w:val="007707ce"/>
    <w:pPr>
      <w:keepNext w:val="true"/>
      <w:numPr>
        <w:ilvl w:val="1"/>
        <w:numId w:val="1"/>
      </w:numPr>
      <w:snapToGrid w:val="false"/>
      <w:spacing w:before="120" w:after="120"/>
      <w:jc w:val="both"/>
      <w:outlineLvl w:val="1"/>
    </w:pPr>
    <w:rPr>
      <w:rFonts w:ascii="Times New Roman" w:hAnsi="Times New Roman" w:eastAsia="SimSun"/>
      <w:b/>
      <w:bCs/>
      <w:sz w:val="24"/>
      <w:szCs w:val="22"/>
      <w:lang w:val="en-US"/>
    </w:rPr>
  </w:style>
  <w:style w:type="paragraph" w:styleId="Heading3">
    <w:name w:val="Heading 3"/>
    <w:basedOn w:val="Normal"/>
    <w:next w:val="Normal"/>
    <w:link w:val="Heading3Char"/>
    <w:qFormat/>
    <w:rsid w:val="007707ce"/>
    <w:pPr>
      <w:keepNext w:val="true"/>
      <w:numPr>
        <w:ilvl w:val="2"/>
        <w:numId w:val="1"/>
      </w:numPr>
      <w:snapToGrid w:val="false"/>
      <w:spacing w:before="120" w:after="120"/>
      <w:jc w:val="both"/>
      <w:outlineLvl w:val="2"/>
    </w:pPr>
    <w:rPr>
      <w:rFonts w:ascii="Times New Roman" w:hAnsi="Times New Roman" w:eastAsia="SimSun"/>
      <w:b/>
      <w:sz w:val="22"/>
      <w:szCs w:val="22"/>
      <w:lang w:val="en-US"/>
    </w:rPr>
  </w:style>
  <w:style w:type="paragraph" w:styleId="Heading4">
    <w:name w:val="Heading 4"/>
    <w:basedOn w:val="Normal"/>
    <w:next w:val="Normal"/>
    <w:link w:val="Heading4Char"/>
    <w:qFormat/>
    <w:rsid w:val="007707ce"/>
    <w:pPr>
      <w:keepNext w:val="true"/>
      <w:numPr>
        <w:ilvl w:val="3"/>
        <w:numId w:val="1"/>
      </w:numPr>
      <w:snapToGrid w:val="false"/>
      <w:spacing w:before="120" w:after="120"/>
      <w:ind w:left="720" w:hanging="720"/>
      <w:jc w:val="both"/>
      <w:outlineLvl w:val="3"/>
    </w:pPr>
    <w:rPr>
      <w:rFonts w:ascii="Times New Roman" w:hAnsi="Times New Roman" w:eastAsia="SimSun"/>
      <w:b/>
      <w:bCs/>
      <w:sz w:val="22"/>
      <w:szCs w:val="28"/>
      <w:lang w:val="en-US"/>
    </w:rPr>
  </w:style>
  <w:style w:type="paragraph" w:styleId="Heading5">
    <w:name w:val="Heading 5"/>
    <w:basedOn w:val="Normal"/>
    <w:next w:val="Normal"/>
    <w:link w:val="Heading5Char"/>
    <w:qFormat/>
    <w:rsid w:val="007707ce"/>
    <w:pPr>
      <w:keepNext w:val="true"/>
      <w:numPr>
        <w:ilvl w:val="4"/>
        <w:numId w:val="1"/>
      </w:numPr>
      <w:snapToGrid w:val="false"/>
      <w:spacing w:before="120" w:after="120"/>
      <w:ind w:left="720" w:hanging="720"/>
      <w:jc w:val="both"/>
      <w:outlineLvl w:val="4"/>
    </w:pPr>
    <w:rPr>
      <w:rFonts w:ascii="Times New Roman" w:hAnsi="Times New Roman" w:eastAsia="SimSun"/>
      <w:b/>
      <w:bCs/>
      <w:i/>
      <w:iCs/>
      <w:sz w:val="22"/>
      <w:szCs w:val="26"/>
      <w:lang w:val="en-US"/>
    </w:rPr>
  </w:style>
  <w:style w:type="paragraph" w:styleId="Heading6">
    <w:name w:val="Heading 6"/>
    <w:basedOn w:val="Normal"/>
    <w:next w:val="Normal"/>
    <w:link w:val="Heading6Char"/>
    <w:qFormat/>
    <w:rsid w:val="007707ce"/>
    <w:pPr>
      <w:numPr>
        <w:ilvl w:val="5"/>
        <w:numId w:val="1"/>
      </w:numPr>
      <w:snapToGrid w:val="false"/>
      <w:spacing w:before="240" w:after="60"/>
      <w:jc w:val="both"/>
      <w:outlineLvl w:val="5"/>
    </w:pPr>
    <w:rPr>
      <w:rFonts w:ascii="Times New Roman" w:hAnsi="Times New Roman" w:eastAsia="SimSun"/>
      <w:b/>
      <w:bCs/>
      <w:sz w:val="22"/>
      <w:szCs w:val="22"/>
      <w:lang w:val="en-US"/>
    </w:rPr>
  </w:style>
  <w:style w:type="paragraph" w:styleId="Heading7">
    <w:name w:val="Heading 7"/>
    <w:basedOn w:val="Normal"/>
    <w:next w:val="Normal"/>
    <w:link w:val="Heading7Char"/>
    <w:qFormat/>
    <w:rsid w:val="007707ce"/>
    <w:pPr>
      <w:numPr>
        <w:ilvl w:val="6"/>
        <w:numId w:val="1"/>
      </w:numPr>
      <w:snapToGrid w:val="false"/>
      <w:spacing w:before="240" w:after="60"/>
      <w:jc w:val="both"/>
      <w:outlineLvl w:val="6"/>
    </w:pPr>
    <w:rPr>
      <w:rFonts w:ascii="Times New Roman" w:hAnsi="Times New Roman" w:eastAsia="SimSun"/>
      <w:sz w:val="24"/>
      <w:lang w:val="en-US"/>
    </w:rPr>
  </w:style>
  <w:style w:type="paragraph" w:styleId="Heading8">
    <w:name w:val="Heading 8"/>
    <w:basedOn w:val="Normal"/>
    <w:next w:val="Normal"/>
    <w:link w:val="Heading8Char"/>
    <w:qFormat/>
    <w:rsid w:val="007707ce"/>
    <w:pPr>
      <w:numPr>
        <w:ilvl w:val="7"/>
        <w:numId w:val="1"/>
      </w:numPr>
      <w:snapToGrid w:val="false"/>
      <w:spacing w:before="240" w:after="60"/>
      <w:jc w:val="both"/>
      <w:outlineLvl w:val="7"/>
    </w:pPr>
    <w:rPr>
      <w:rFonts w:ascii="Times New Roman" w:hAnsi="Times New Roman" w:eastAsia="SimSun"/>
      <w:i/>
      <w:iCs/>
      <w:sz w:val="24"/>
      <w:lang w:val="en-US"/>
    </w:rPr>
  </w:style>
  <w:style w:type="paragraph" w:styleId="Heading9">
    <w:name w:val="Heading 9"/>
    <w:basedOn w:val="Normal"/>
    <w:next w:val="Normal"/>
    <w:link w:val="Heading9Char"/>
    <w:qFormat/>
    <w:rsid w:val="007707ce"/>
    <w:pPr>
      <w:numPr>
        <w:ilvl w:val="8"/>
        <w:numId w:val="1"/>
      </w:numPr>
      <w:snapToGrid w:val="false"/>
      <w:spacing w:before="240" w:after="60"/>
      <w:jc w:val="both"/>
      <w:outlineLvl w:val="8"/>
    </w:pPr>
    <w:rPr>
      <w:rFonts w:ascii="Arial" w:hAnsi="Arial" w:eastAsia="SimSun" w:cs="Arial"/>
      <w:sz w:val="22"/>
      <w:szCs w:val="22"/>
      <w:lang w:val="en-US"/>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qFormat/>
    <w:rsid w:val="007707ce"/>
    <w:rPr>
      <w:rFonts w:ascii="Times New Roman" w:hAnsi="Times New Roman" w:eastAsia="SimSun" w:cs="Times New Roman"/>
      <w:b/>
      <w:bCs/>
      <w:sz w:val="28"/>
      <w:szCs w:val="28"/>
    </w:rPr>
  </w:style>
  <w:style w:type="character" w:styleId="Heading2Char" w:customStyle="1">
    <w:name w:val="Heading 2 Char"/>
    <w:basedOn w:val="DefaultParagraphFont"/>
    <w:link w:val="Heading2"/>
    <w:qFormat/>
    <w:rsid w:val="007707ce"/>
    <w:rPr>
      <w:rFonts w:ascii="Times New Roman" w:hAnsi="Times New Roman" w:eastAsia="SimSun" w:cs="Times New Roman"/>
      <w:b/>
      <w:bCs/>
      <w:sz w:val="24"/>
    </w:rPr>
  </w:style>
  <w:style w:type="character" w:styleId="Heading3Char" w:customStyle="1">
    <w:name w:val="Heading 3 Char"/>
    <w:basedOn w:val="DefaultParagraphFont"/>
    <w:link w:val="Heading3"/>
    <w:qFormat/>
    <w:rsid w:val="007707ce"/>
    <w:rPr>
      <w:rFonts w:ascii="Times New Roman" w:hAnsi="Times New Roman" w:eastAsia="SimSun" w:cs="Times New Roman"/>
      <w:b/>
    </w:rPr>
  </w:style>
  <w:style w:type="character" w:styleId="Heading4Char" w:customStyle="1">
    <w:name w:val="Heading 4 Char"/>
    <w:basedOn w:val="DefaultParagraphFont"/>
    <w:link w:val="Heading4"/>
    <w:qFormat/>
    <w:rsid w:val="007707ce"/>
    <w:rPr>
      <w:rFonts w:ascii="Times New Roman" w:hAnsi="Times New Roman" w:eastAsia="SimSun" w:cs="Times New Roman"/>
      <w:b/>
      <w:bCs/>
      <w:szCs w:val="28"/>
    </w:rPr>
  </w:style>
  <w:style w:type="character" w:styleId="Heading5Char" w:customStyle="1">
    <w:name w:val="Heading 5 Char"/>
    <w:basedOn w:val="DefaultParagraphFont"/>
    <w:link w:val="Heading5"/>
    <w:qFormat/>
    <w:rsid w:val="007707ce"/>
    <w:rPr>
      <w:rFonts w:ascii="Times New Roman" w:hAnsi="Times New Roman" w:eastAsia="SimSun" w:cs="Times New Roman"/>
      <w:b/>
      <w:bCs/>
      <w:i/>
      <w:iCs/>
      <w:szCs w:val="26"/>
    </w:rPr>
  </w:style>
  <w:style w:type="character" w:styleId="Heading6Char" w:customStyle="1">
    <w:name w:val="Heading 6 Char"/>
    <w:basedOn w:val="DefaultParagraphFont"/>
    <w:link w:val="Heading6"/>
    <w:qFormat/>
    <w:rsid w:val="007707ce"/>
    <w:rPr>
      <w:rFonts w:ascii="Times New Roman" w:hAnsi="Times New Roman" w:eastAsia="SimSun" w:cs="Times New Roman"/>
      <w:b/>
      <w:bCs/>
    </w:rPr>
  </w:style>
  <w:style w:type="character" w:styleId="Heading7Char" w:customStyle="1">
    <w:name w:val="Heading 7 Char"/>
    <w:basedOn w:val="DefaultParagraphFont"/>
    <w:link w:val="Heading7"/>
    <w:qFormat/>
    <w:rsid w:val="007707ce"/>
    <w:rPr>
      <w:rFonts w:ascii="Times New Roman" w:hAnsi="Times New Roman" w:eastAsia="SimSun" w:cs="Times New Roman"/>
      <w:sz w:val="24"/>
      <w:szCs w:val="24"/>
    </w:rPr>
  </w:style>
  <w:style w:type="character" w:styleId="Heading8Char" w:customStyle="1">
    <w:name w:val="Heading 8 Char"/>
    <w:basedOn w:val="DefaultParagraphFont"/>
    <w:link w:val="Heading8"/>
    <w:qFormat/>
    <w:rsid w:val="007707ce"/>
    <w:rPr>
      <w:rFonts w:ascii="Times New Roman" w:hAnsi="Times New Roman" w:eastAsia="SimSun" w:cs="Times New Roman"/>
      <w:i/>
      <w:iCs/>
      <w:sz w:val="24"/>
      <w:szCs w:val="24"/>
    </w:rPr>
  </w:style>
  <w:style w:type="character" w:styleId="Heading9Char" w:customStyle="1">
    <w:name w:val="Heading 9 Char"/>
    <w:basedOn w:val="DefaultParagraphFont"/>
    <w:link w:val="Heading9"/>
    <w:qFormat/>
    <w:rsid w:val="007707ce"/>
    <w:rPr>
      <w:rFonts w:ascii="Arial" w:hAnsi="Arial" w:eastAsia="SimSun" w:cs="Arial"/>
    </w:rPr>
  </w:style>
  <w:style w:type="character" w:styleId="BodyTextIndent2Char" w:customStyle="1">
    <w:name w:val="Body Text Indent 2 Char"/>
    <w:basedOn w:val="DefaultParagraphFont"/>
    <w:link w:val="BodyTextIndent2"/>
    <w:qFormat/>
    <w:rsid w:val="00b27d31"/>
    <w:rPr>
      <w:rFonts w:eastAsia="" w:eastAsiaTheme="minorEastAsia"/>
      <w:kern w:val="2"/>
      <w:lang w:eastAsia="ja-JP"/>
    </w:rPr>
  </w:style>
  <w:style w:type="character" w:styleId="PlaceholderText">
    <w:name w:val="Placeholder Text"/>
    <w:basedOn w:val="DefaultParagraphFont"/>
    <w:uiPriority w:val="99"/>
    <w:semiHidden/>
    <w:qFormat/>
    <w:rsid w:val="00be7f01"/>
    <w:rPr>
      <w:color w:val="808080"/>
    </w:rPr>
  </w:style>
  <w:style w:type="character" w:styleId="ListParagraphChar" w:customStyle="1">
    <w:name w:val="List Paragraph Char"/>
    <w:link w:val="ListParagraph"/>
    <w:uiPriority w:val="34"/>
    <w:qFormat/>
    <w:rsid w:val="00d0408c"/>
    <w:rPr>
      <w:rFonts w:ascii="SimSun" w:hAnsi="SimSun" w:eastAsia="SimSun" w:cs="SimSun"/>
      <w:sz w:val="24"/>
      <w:szCs w:val="24"/>
      <w:lang w:eastAsia="zh-CN"/>
    </w:rPr>
  </w:style>
  <w:style w:type="character" w:styleId="Annotationreference">
    <w:name w:val="annotation reference"/>
    <w:basedOn w:val="DefaultParagraphFont"/>
    <w:uiPriority w:val="99"/>
    <w:semiHidden/>
    <w:unhideWhenUsed/>
    <w:qFormat/>
    <w:rsid w:val="009b4c55"/>
    <w:rPr>
      <w:sz w:val="16"/>
      <w:szCs w:val="16"/>
    </w:rPr>
  </w:style>
  <w:style w:type="character" w:styleId="CommentTextChar" w:customStyle="1">
    <w:name w:val="Comment Text Char"/>
    <w:basedOn w:val="DefaultParagraphFont"/>
    <w:link w:val="CommentText"/>
    <w:uiPriority w:val="99"/>
    <w:semiHidden/>
    <w:qFormat/>
    <w:rsid w:val="009b4c55"/>
    <w:rPr>
      <w:rFonts w:ascii="Times" w:hAnsi="Times" w:eastAsia="Batang" w:cs="Times New Roman"/>
      <w:sz w:val="20"/>
      <w:szCs w:val="20"/>
      <w:lang w:val="en-GB"/>
    </w:rPr>
  </w:style>
  <w:style w:type="character" w:styleId="CommentSubjectChar" w:customStyle="1">
    <w:name w:val="Comment Subject Char"/>
    <w:basedOn w:val="CommentTextChar"/>
    <w:link w:val="CommentSubject"/>
    <w:uiPriority w:val="99"/>
    <w:semiHidden/>
    <w:qFormat/>
    <w:rsid w:val="009b4c55"/>
    <w:rPr>
      <w:rFonts w:ascii="Times" w:hAnsi="Times" w:eastAsia="Batang" w:cs="Times New Roman"/>
      <w:b/>
      <w:bCs/>
      <w:sz w:val="20"/>
      <w:szCs w:val="20"/>
      <w:lang w:val="en-GB"/>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i w:val="false"/>
      <w:lang w:val="en-US"/>
    </w:rPr>
  </w:style>
  <w:style w:type="character" w:styleId="ListLabel11" w:customStyle="1">
    <w:name w:val="ListLabel 11"/>
    <w:qFormat/>
    <w:rPr>
      <w:b/>
      <w:i w:val="false"/>
      <w:sz w:val="24"/>
      <w:effect w:val="none"/>
    </w:rPr>
  </w:style>
  <w:style w:type="character" w:styleId="ListLabel12" w:customStyle="1">
    <w:name w:val="ListLabel 12"/>
    <w:qFormat/>
    <w:rPr>
      <w:i w:val="false"/>
      <w:lang w:val="en-US"/>
    </w:rPr>
  </w:style>
  <w:style w:type="character" w:styleId="ListLabel13" w:customStyle="1">
    <w:name w:val="ListLabel 13"/>
    <w:qFormat/>
    <w:rPr>
      <w:b/>
      <w:i w:val="false"/>
      <w:sz w:val="24"/>
      <w:effect w:val="none"/>
    </w:rPr>
  </w:style>
  <w:style w:type="character" w:styleId="ListLabel14" w:customStyle="1">
    <w:name w:val="ListLabel 14"/>
    <w:qFormat/>
    <w:rPr>
      <w:i w:val="false"/>
      <w:lang w:val="en-US"/>
    </w:rPr>
  </w:style>
  <w:style w:type="character" w:styleId="ListLabel15" w:customStyle="1">
    <w:name w:val="ListLabel 15"/>
    <w:qFormat/>
    <w:rPr>
      <w:b/>
      <w:i w:val="false"/>
      <w:sz w:val="24"/>
      <w:effect w:val="none"/>
    </w:rPr>
  </w:style>
  <w:style w:type="character" w:styleId="ListLabel16" w:customStyle="1">
    <w:name w:val="ListLabel 16"/>
    <w:qFormat/>
    <w:rPr>
      <w:i w:val="false"/>
      <w:lang w:val="en-US"/>
    </w:rPr>
  </w:style>
  <w:style w:type="character" w:styleId="ListLabel17" w:customStyle="1">
    <w:name w:val="ListLabel 17"/>
    <w:qFormat/>
    <w:rPr>
      <w:b/>
      <w:i w:val="false"/>
      <w:sz w:val="24"/>
      <w:effect w:val="none"/>
    </w:rPr>
  </w:style>
  <w:style w:type="character" w:styleId="ListLabel18" w:customStyle="1">
    <w:name w:val="ListLabel 18"/>
    <w:qFormat/>
    <w:rPr>
      <w:i w:val="false"/>
      <w:lang w:val="en-US"/>
    </w:rPr>
  </w:style>
  <w:style w:type="character" w:styleId="ListLabel19" w:customStyle="1">
    <w:name w:val="ListLabel 19"/>
    <w:qFormat/>
    <w:rPr>
      <w:b/>
      <w:i w:val="false"/>
      <w:sz w:val="24"/>
      <w:effect w:val="none"/>
    </w:rPr>
  </w:style>
  <w:style w:type="character" w:styleId="ListLabel20" w:customStyle="1">
    <w:name w:val="ListLabel 20"/>
    <w:qFormat/>
    <w:rPr>
      <w:i w:val="false"/>
      <w:lang w:val="en-US"/>
    </w:rPr>
  </w:style>
  <w:style w:type="character" w:styleId="ListLabel21" w:customStyle="1">
    <w:name w:val="ListLabel 21"/>
    <w:qFormat/>
    <w:rPr>
      <w:b/>
      <w:i w:val="false"/>
      <w:sz w:val="24"/>
      <w:effect w:val="none"/>
    </w:rPr>
  </w:style>
  <w:style w:type="character" w:styleId="ListLabel22" w:customStyle="1">
    <w:name w:val="ListLabel 22"/>
    <w:qFormat/>
    <w:rPr>
      <w:rFonts w:cs="Courier New"/>
    </w:rPr>
  </w:style>
  <w:style w:type="character" w:styleId="ListLabel23" w:customStyle="1">
    <w:name w:val="ListLabel 23"/>
    <w:qFormat/>
    <w:rPr>
      <w:rFonts w:cs="Courier New"/>
    </w:rPr>
  </w:style>
  <w:style w:type="character" w:styleId="ListLabel24" w:customStyle="1">
    <w:name w:val="ListLabel 24"/>
    <w:qFormat/>
    <w:rPr>
      <w:rFonts w:cs="Courier New"/>
    </w:rPr>
  </w:style>
  <w:style w:type="character" w:styleId="ListLabel25" w:customStyle="1">
    <w:name w:val="ListLabel 25"/>
    <w:qFormat/>
    <w:rPr>
      <w:rFonts w:cs="Courier New"/>
    </w:rPr>
  </w:style>
  <w:style w:type="character" w:styleId="ListLabel26" w:customStyle="1">
    <w:name w:val="ListLabel 26"/>
    <w:qFormat/>
    <w:rPr>
      <w:rFonts w:cs="Courier New"/>
    </w:rPr>
  </w:style>
  <w:style w:type="character" w:styleId="ListLabel27" w:customStyle="1">
    <w:name w:val="ListLabel 27"/>
    <w:qFormat/>
    <w:rPr>
      <w:rFonts w:cs="Courier New"/>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ascii="Times New Roman" w:hAnsi="Times New Roman"/>
      <w:sz w:val="20"/>
      <w:szCs w:val="20"/>
    </w:rPr>
  </w:style>
  <w:style w:type="character" w:styleId="InternetLink" w:customStyle="1">
    <w:name w:val="Internet Link"/>
    <w:rPr>
      <w:color w:val="000080"/>
      <w:u w:val="single"/>
    </w:rPr>
  </w:style>
  <w:style w:type="character" w:styleId="3GPPAgreementsChar" w:customStyle="1">
    <w:name w:val="3GPP Agreements Char"/>
    <w:link w:val="3GPPAgreements"/>
    <w:qFormat/>
    <w:rsid w:val="00a079db"/>
    <w:rPr>
      <w:rFonts w:ascii="Times New Roman" w:hAnsi="Times New Roman" w:eastAsia="SimSun" w:cs="Times New Roman"/>
      <w:sz w:val="22"/>
    </w:rPr>
  </w:style>
  <w:style w:type="character" w:styleId="3GPPTextChar" w:customStyle="1">
    <w:name w:val="3GPP Text Char"/>
    <w:link w:val="3GPPText"/>
    <w:qFormat/>
    <w:rsid w:val="00a079db"/>
    <w:rPr>
      <w:rFonts w:ascii="Times New Roman" w:hAnsi="Times New Roman" w:eastAsia="DengXian" w:cs="Times New Roman"/>
      <w:szCs w:val="20"/>
    </w:rPr>
  </w:style>
  <w:style w:type="character" w:styleId="ListLabel32" w:customStyle="1">
    <w:name w:val="ListLabel 32"/>
    <w:qFormat/>
    <w:rPr>
      <w:i w:val="false"/>
      <w:lang w:val="en-US"/>
    </w:rPr>
  </w:style>
  <w:style w:type="character" w:styleId="ListLabel33" w:customStyle="1">
    <w:name w:val="ListLabel 33"/>
    <w:qFormat/>
    <w:rPr>
      <w:b/>
      <w:i w:val="false"/>
      <w:sz w:val="24"/>
      <w:effect w:val="none"/>
    </w:rPr>
  </w:style>
  <w:style w:type="character" w:styleId="ListLabel34" w:customStyle="1">
    <w:name w:val="ListLabel 34"/>
    <w:qFormat/>
    <w:rPr>
      <w:i w:val="false"/>
      <w:lang w:val="en-US"/>
    </w:rPr>
  </w:style>
  <w:style w:type="character" w:styleId="ListLabel35" w:customStyle="1">
    <w:name w:val="ListLabel 35"/>
    <w:qFormat/>
    <w:rPr>
      <w:b/>
      <w:i w:val="false"/>
      <w:sz w:val="24"/>
      <w:effect w:val="none"/>
    </w:rPr>
  </w:style>
  <w:style w:type="character" w:styleId="ListLabel36" w:customStyle="1">
    <w:name w:val="ListLabel 36"/>
    <w:qFormat/>
    <w:rPr>
      <w:rFonts w:cs="Times New Roman"/>
      <w:color w:val="00000A"/>
      <w:sz w:val="22"/>
    </w:rPr>
  </w:style>
  <w:style w:type="character" w:styleId="ListLabel37" w:customStyle="1">
    <w:name w:val="ListLabel 37"/>
    <w:qFormat/>
    <w:rPr>
      <w:rFonts w:cs="Times New Roman"/>
      <w:color w:val="00000A"/>
      <w:sz w:val="22"/>
    </w:rPr>
  </w:style>
  <w:style w:type="character" w:styleId="ListLabel38" w:customStyle="1">
    <w:name w:val="ListLabel 38"/>
    <w:qFormat/>
    <w:rPr>
      <w:rFonts w:cs="Times New Roman"/>
      <w:color w:val="00000A"/>
      <w:sz w:val="22"/>
    </w:rPr>
  </w:style>
  <w:style w:type="character" w:styleId="ListLabel39" w:customStyle="1">
    <w:name w:val="ListLabel 39"/>
    <w:qFormat/>
    <w:rPr>
      <w:rFonts w:cs="Times New Roman"/>
      <w:color w:val="00000A"/>
    </w:rPr>
  </w:style>
  <w:style w:type="character" w:styleId="ListLabel40" w:customStyle="1">
    <w:name w:val="ListLabel 40"/>
    <w:qFormat/>
    <w:rPr>
      <w:rFonts w:cs="Times New Roman"/>
      <w:color w:val="00000A"/>
    </w:rPr>
  </w:style>
  <w:style w:type="character" w:styleId="ListLabel41" w:customStyle="1">
    <w:name w:val="ListLabel 41"/>
    <w:qFormat/>
    <w:rPr>
      <w:rFonts w:ascii="Times" w:hAnsi="Times" w:cs="Courier New"/>
    </w:rPr>
  </w:style>
  <w:style w:type="character" w:styleId="ListLabel42" w:customStyle="1">
    <w:name w:val="ListLabel 42"/>
    <w:qFormat/>
    <w:rPr>
      <w:rFonts w:cs="Courier New"/>
    </w:rPr>
  </w:style>
  <w:style w:type="character" w:styleId="ListLabel43" w:customStyle="1">
    <w:name w:val="ListLabel 43"/>
    <w:qFormat/>
    <w:rPr>
      <w:rFonts w:cs="Courier New"/>
    </w:rPr>
  </w:style>
  <w:style w:type="character" w:styleId="ListLabel44" w:customStyle="1">
    <w:name w:val="ListLabel 44"/>
    <w:qFormat/>
    <w:rPr>
      <w:rFonts w:cs="Courier New"/>
    </w:rPr>
  </w:style>
  <w:style w:type="character" w:styleId="ListLabel45" w:customStyle="1">
    <w:name w:val="ListLabel 45"/>
    <w:qFormat/>
    <w:rPr>
      <w:rFonts w:cs="Courier New"/>
    </w:rPr>
  </w:style>
  <w:style w:type="character" w:styleId="ListLabel46" w:customStyle="1">
    <w:name w:val="ListLabel 46"/>
    <w:qFormat/>
    <w:rPr>
      <w:rFonts w:cs="Courier New"/>
    </w:rPr>
  </w:style>
  <w:style w:type="character" w:styleId="ListLabel47" w:customStyle="1">
    <w:name w:val="ListLabel 47"/>
    <w:qFormat/>
    <w:rPr>
      <w:rFonts w:cs="Courier New"/>
    </w:rPr>
  </w:style>
  <w:style w:type="character" w:styleId="ListLabel48" w:customStyle="1">
    <w:name w:val="ListLabel 48"/>
    <w:qFormat/>
    <w:rPr>
      <w:rFonts w:cs="Courier New"/>
    </w:rPr>
  </w:style>
  <w:style w:type="character" w:styleId="ListLabel49" w:customStyle="1">
    <w:name w:val="ListLabel 49"/>
    <w:qFormat/>
    <w:rPr>
      <w:rFonts w:cs="Courier New"/>
    </w:rPr>
  </w:style>
  <w:style w:type="character" w:styleId="ListLabel50" w:customStyle="1">
    <w:name w:val="ListLabel 50"/>
    <w:qFormat/>
    <w:rPr>
      <w:rFonts w:cs="Courier New"/>
    </w:rPr>
  </w:style>
  <w:style w:type="character" w:styleId="ListLabel51" w:customStyle="1">
    <w:name w:val="ListLabel 51"/>
    <w:qFormat/>
    <w:rPr>
      <w:rFonts w:cs="Courier New"/>
    </w:rPr>
  </w:style>
  <w:style w:type="character" w:styleId="ListLabel52" w:customStyle="1">
    <w:name w:val="ListLabel 52"/>
    <w:qFormat/>
    <w:rPr>
      <w:rFonts w:cs="Courier New"/>
    </w:rPr>
  </w:style>
  <w:style w:type="character" w:styleId="ListLabel53" w:customStyle="1">
    <w:name w:val="ListLabel 53"/>
    <w:qFormat/>
    <w:rPr>
      <w:rFonts w:cs="Times New Roman"/>
      <w:sz w:val="24"/>
      <w:szCs w:val="24"/>
    </w:rPr>
  </w:style>
  <w:style w:type="character" w:styleId="ListLabel54">
    <w:name w:val="ListLabel 54"/>
    <w:qFormat/>
    <w:rPr>
      <w:i w:val="false"/>
      <w:lang w:val="en-US"/>
    </w:rPr>
  </w:style>
  <w:style w:type="character" w:styleId="ListLabel55">
    <w:name w:val="ListLabel 55"/>
    <w:qFormat/>
    <w:rPr>
      <w:b/>
      <w:i w:val="false"/>
      <w:sz w:val="24"/>
      <w:effect w:val="none"/>
    </w:rPr>
  </w:style>
  <w:style w:type="character" w:styleId="ListLabel56">
    <w:name w:val="ListLabel 56"/>
    <w:qFormat/>
    <w:rPr>
      <w:i w:val="false"/>
      <w:lang w:val="en-US"/>
    </w:rPr>
  </w:style>
  <w:style w:type="character" w:styleId="ListLabel57">
    <w:name w:val="ListLabel 57"/>
    <w:qFormat/>
    <w:rPr>
      <w:b/>
      <w:i w:val="false"/>
      <w:sz w:val="24"/>
      <w:effect w:val="none"/>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cs="Symbol"/>
    </w:rPr>
  </w:style>
  <w:style w:type="character" w:styleId="ListLabel62">
    <w:name w:val="ListLabel 62"/>
    <w:qFormat/>
    <w:rPr>
      <w:rFonts w:cs="Courier New"/>
    </w:rPr>
  </w:style>
  <w:style w:type="character" w:styleId="ListLabel63">
    <w:name w:val="ListLabel 63"/>
    <w:qFormat/>
    <w:rPr>
      <w:rFonts w:cs="Wingdings"/>
    </w:rPr>
  </w:style>
  <w:style w:type="character" w:styleId="ListLabel64">
    <w:name w:val="ListLabel 64"/>
    <w:qFormat/>
    <w:rPr>
      <w:rFonts w:cs="Symbol"/>
    </w:rPr>
  </w:style>
  <w:style w:type="character" w:styleId="ListLabel65">
    <w:name w:val="ListLabel 65"/>
    <w:qFormat/>
    <w:rPr>
      <w:rFonts w:cs="Courier New"/>
    </w:rPr>
  </w:style>
  <w:style w:type="character" w:styleId="ListLabel66">
    <w:name w:val="ListLabel 66"/>
    <w:qFormat/>
    <w:rPr>
      <w:rFonts w:cs="Wingdings"/>
    </w:rPr>
  </w:style>
  <w:style w:type="character" w:styleId="ListLabel67">
    <w:name w:val="ListLabel 67"/>
    <w:qFormat/>
    <w:rPr>
      <w:rFonts w:cs="Symbol"/>
    </w:rPr>
  </w:style>
  <w:style w:type="character" w:styleId="ListLabel68">
    <w:name w:val="ListLabel 68"/>
    <w:qFormat/>
    <w:rPr>
      <w:rFonts w:cs="Courier New"/>
    </w:rPr>
  </w:style>
  <w:style w:type="character" w:styleId="ListLabel69">
    <w:name w:val="ListLabel 69"/>
    <w:qFormat/>
    <w:rPr>
      <w:rFonts w:cs="Wingdings"/>
    </w:rPr>
  </w:style>
  <w:style w:type="character" w:styleId="ListLabel70">
    <w:name w:val="ListLabel 70"/>
    <w:qFormat/>
    <w:rPr>
      <w:rFonts w:cs="Symbol"/>
    </w:rPr>
  </w:style>
  <w:style w:type="character" w:styleId="ListLabel71">
    <w:name w:val="ListLabel 71"/>
    <w:qFormat/>
    <w:rPr>
      <w:rFonts w:cs="Courier New"/>
    </w:rPr>
  </w:style>
  <w:style w:type="character" w:styleId="ListLabel72">
    <w:name w:val="ListLabel 72"/>
    <w:qFormat/>
    <w:rPr>
      <w:rFonts w:cs="Wingdings"/>
    </w:rPr>
  </w:style>
  <w:style w:type="character" w:styleId="ListLabel73">
    <w:name w:val="ListLabel 73"/>
    <w:qFormat/>
    <w:rPr>
      <w:rFonts w:cs="Symbol"/>
    </w:rPr>
  </w:style>
  <w:style w:type="character" w:styleId="ListLabel74">
    <w:name w:val="ListLabel 74"/>
    <w:qFormat/>
    <w:rPr>
      <w:rFonts w:cs="Courier New"/>
    </w:rPr>
  </w:style>
  <w:style w:type="character" w:styleId="ListLabel75">
    <w:name w:val="ListLabel 75"/>
    <w:qFormat/>
    <w:rPr>
      <w:rFonts w:cs="Wingdings"/>
    </w:rPr>
  </w:style>
  <w:style w:type="character" w:styleId="ListLabel76">
    <w:name w:val="ListLabel 76"/>
    <w:qFormat/>
    <w:rPr>
      <w:rFonts w:cs="Symbol"/>
    </w:rPr>
  </w:style>
  <w:style w:type="character" w:styleId="ListLabel77">
    <w:name w:val="ListLabel 77"/>
    <w:qFormat/>
    <w:rPr>
      <w:rFonts w:cs="Courier New"/>
    </w:rPr>
  </w:style>
  <w:style w:type="character" w:styleId="ListLabel78">
    <w:name w:val="ListLabel 78"/>
    <w:qFormat/>
    <w:rPr>
      <w:rFonts w:cs="Wingdings"/>
    </w:rPr>
  </w:style>
  <w:style w:type="character" w:styleId="ListLabel79">
    <w:name w:val="ListLabel 79"/>
    <w:qFormat/>
    <w:rPr>
      <w:rFonts w:cs="Symbol"/>
    </w:rPr>
  </w:style>
  <w:style w:type="character" w:styleId="ListLabel80">
    <w:name w:val="ListLabel 80"/>
    <w:qFormat/>
    <w:rPr>
      <w:rFonts w:cs="Courier New"/>
    </w:rPr>
  </w:style>
  <w:style w:type="character" w:styleId="ListLabel81">
    <w:name w:val="ListLabel 81"/>
    <w:qFormat/>
    <w:rPr>
      <w:rFonts w:cs="Wingdings"/>
    </w:rPr>
  </w:style>
  <w:style w:type="character" w:styleId="ListLabel82">
    <w:name w:val="ListLabel 82"/>
    <w:qFormat/>
    <w:rPr>
      <w:rFonts w:cs="Symbol"/>
    </w:rPr>
  </w:style>
  <w:style w:type="character" w:styleId="ListLabel83">
    <w:name w:val="ListLabel 83"/>
    <w:qFormat/>
    <w:rPr>
      <w:rFonts w:cs="Courier New"/>
    </w:rPr>
  </w:style>
  <w:style w:type="character" w:styleId="ListLabel84">
    <w:name w:val="ListLabel 84"/>
    <w:qFormat/>
    <w:rPr>
      <w:rFonts w:cs="Wingdings"/>
    </w:rPr>
  </w:style>
  <w:style w:type="character" w:styleId="ListLabel85">
    <w:name w:val="ListLabel 85"/>
    <w:qFormat/>
    <w:rPr>
      <w:rFonts w:cs="Courier New"/>
    </w:rPr>
  </w:style>
  <w:style w:type="character" w:styleId="ListLabel86">
    <w:name w:val="ListLabel 86"/>
    <w:qFormat/>
    <w:rPr>
      <w:rFonts w:cs="Courier New"/>
    </w:rPr>
  </w:style>
  <w:style w:type="character" w:styleId="ListLabel87">
    <w:name w:val="ListLabel 87"/>
    <w:qFormat/>
    <w:rPr>
      <w:rFonts w:cs="Courier New"/>
    </w:rPr>
  </w:style>
  <w:style w:type="character" w:styleId="ListLabel88">
    <w:name w:val="ListLabel 88"/>
    <w:qFormat/>
    <w:rPr>
      <w:rFonts w:cs="Courier New"/>
    </w:rPr>
  </w:style>
  <w:style w:type="character" w:styleId="ListLabel89">
    <w:name w:val="ListLabel 89"/>
    <w:qFormat/>
    <w:rPr>
      <w:rFonts w:cs="Courier New"/>
    </w:rPr>
  </w:style>
  <w:style w:type="character" w:styleId="ListLabel90">
    <w:name w:val="ListLabel 90"/>
    <w:qFormat/>
    <w:rPr>
      <w:rFonts w:cs="Courier New"/>
    </w:rPr>
  </w:style>
  <w:style w:type="character" w:styleId="ListLabel91">
    <w:name w:val="ListLabel 91"/>
    <w:qFormat/>
    <w:rPr>
      <w:rFonts w:cs="Courier New"/>
    </w:rPr>
  </w:style>
  <w:style w:type="character" w:styleId="ListLabel92">
    <w:name w:val="ListLabel 92"/>
    <w:qFormat/>
    <w:rPr>
      <w:rFonts w:cs="Courier New"/>
    </w:rPr>
  </w:style>
  <w:style w:type="character" w:styleId="ListLabel93">
    <w:name w:val="ListLabel 93"/>
    <w:qFormat/>
    <w:rPr>
      <w:rFonts w:cs="Courier New"/>
    </w:rPr>
  </w:style>
  <w:style w:type="character" w:styleId="ListLabel94">
    <w:name w:val="ListLabel 94"/>
    <w:qFormat/>
    <w:rPr>
      <w:rFonts w:cs="Courier New"/>
    </w:rPr>
  </w:style>
  <w:style w:type="character" w:styleId="ListLabel95">
    <w:name w:val="ListLabel 95"/>
    <w:qFormat/>
    <w:rPr>
      <w:rFonts w:cs="Courier New"/>
    </w:rPr>
  </w:style>
  <w:style w:type="character" w:styleId="ListLabel96">
    <w:name w:val="ListLabel 96"/>
    <w:qFormat/>
    <w:rPr>
      <w:rFonts w:cs="Courier New"/>
    </w:rPr>
  </w:style>
  <w:style w:type="character" w:styleId="ListLabel97">
    <w:name w:val="ListLabel 97"/>
    <w:qFormat/>
    <w:rPr>
      <w:rFonts w:cs="Times New Roman"/>
      <w:sz w:val="24"/>
      <w:szCs w:val="24"/>
    </w:rPr>
  </w:style>
  <w:style w:type="character" w:styleId="NumberingSymbols">
    <w:name w:val="Numbering Symbols"/>
    <w:qFormat/>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rPr>
  </w:style>
  <w:style w:type="paragraph" w:styleId="BodyTextIndent2">
    <w:name w:val="Body Text Indent 2"/>
    <w:basedOn w:val="Normal"/>
    <w:link w:val="BodyTextIndent2Char"/>
    <w:qFormat/>
    <w:rsid w:val="00b27d31"/>
    <w:pPr>
      <w:widowControl w:val="false"/>
      <w:tabs>
        <w:tab w:val="left" w:pos="2205" w:leader="none"/>
      </w:tabs>
      <w:spacing w:lineRule="auto" w:line="259"/>
      <w:ind w:left="200" w:hanging="0"/>
      <w:jc w:val="both"/>
      <w:textAlignment w:val="baseline"/>
    </w:pPr>
    <w:rPr>
      <w:rFonts w:ascii="Calibri" w:hAnsi="Calibri" w:eastAsia="" w:cs="" w:asciiTheme="minorHAnsi" w:cstheme="minorBidi" w:eastAsiaTheme="minorEastAsia" w:hAnsiTheme="minorHAnsi"/>
      <w:kern w:val="2"/>
      <w:sz w:val="22"/>
      <w:szCs w:val="22"/>
      <w:lang w:val="en-US" w:eastAsia="ja-JP"/>
    </w:rPr>
  </w:style>
  <w:style w:type="paragraph" w:styleId="ListParagraph">
    <w:name w:val="List Paragraph"/>
    <w:basedOn w:val="Normal"/>
    <w:link w:val="ListParagraphChar"/>
    <w:uiPriority w:val="34"/>
    <w:qFormat/>
    <w:rsid w:val="00d0408c"/>
    <w:pPr>
      <w:ind w:firstLine="420"/>
    </w:pPr>
    <w:rPr>
      <w:rFonts w:ascii="SimSun" w:hAnsi="SimSun" w:eastAsia="SimSun" w:cs="SimSun"/>
      <w:sz w:val="24"/>
      <w:lang w:val="en-US" w:eastAsia="zh-CN"/>
    </w:rPr>
  </w:style>
  <w:style w:type="paragraph" w:styleId="Annotationtext">
    <w:name w:val="annotation text"/>
    <w:basedOn w:val="Normal"/>
    <w:link w:val="CommentTextChar"/>
    <w:uiPriority w:val="99"/>
    <w:semiHidden/>
    <w:unhideWhenUsed/>
    <w:qFormat/>
    <w:rsid w:val="009b4c55"/>
    <w:pPr/>
    <w:rPr>
      <w:szCs w:val="20"/>
    </w:rPr>
  </w:style>
  <w:style w:type="paragraph" w:styleId="Annotationsubject">
    <w:name w:val="annotation subject"/>
    <w:basedOn w:val="Annotationtext"/>
    <w:link w:val="CommentSubjectChar"/>
    <w:uiPriority w:val="99"/>
    <w:semiHidden/>
    <w:unhideWhenUsed/>
    <w:qFormat/>
    <w:rsid w:val="009b4c55"/>
    <w:pPr/>
    <w:rPr>
      <w:b/>
      <w:bCs/>
    </w:rPr>
  </w:style>
  <w:style w:type="paragraph" w:styleId="3GPPAgreements" w:customStyle="1">
    <w:name w:val="3GPP Agreements"/>
    <w:basedOn w:val="Normal"/>
    <w:link w:val="3GPPAgreementsChar"/>
    <w:qFormat/>
    <w:rsid w:val="00a079db"/>
    <w:pPr>
      <w:snapToGrid w:val="false"/>
      <w:spacing w:lineRule="auto" w:line="259" w:before="0" w:after="120"/>
      <w:jc w:val="both"/>
    </w:pPr>
    <w:rPr>
      <w:rFonts w:ascii="Times New Roman" w:hAnsi="Times New Roman" w:eastAsia="SimSun"/>
      <w:sz w:val="22"/>
      <w:szCs w:val="22"/>
      <w:lang w:val="en-US"/>
    </w:rPr>
  </w:style>
  <w:style w:type="paragraph" w:styleId="3GPPText" w:customStyle="1">
    <w:name w:val="3GPP Text"/>
    <w:basedOn w:val="Normal"/>
    <w:link w:val="3GPPTextChar"/>
    <w:qFormat/>
    <w:rsid w:val="00a079db"/>
    <w:pPr>
      <w:spacing w:lineRule="auto" w:line="259" w:before="120" w:after="120"/>
      <w:jc w:val="both"/>
      <w:textAlignment w:val="baseline"/>
    </w:pPr>
    <w:rPr>
      <w:rFonts w:ascii="Times New Roman" w:hAnsi="Times New Roman" w:eastAsia="DengXian"/>
      <w:szCs w:val="20"/>
      <w:lang w:val="en-US"/>
    </w:rPr>
  </w:style>
  <w:style w:type="paragraph" w:styleId="FrameContents" w:customStyle="1">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3gpp.org/ftp/tsg_ran/TSG_RAN/TSGR_81/Docs/RP-182155.zip" TargetMode="External"/><Relationship Id="rId4" Type="http://schemas.openxmlformats.org/officeDocument/2006/relationships/image" Target="media/image2.png"/><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C172B-4516-4E89-A65C-CCFAE371F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Application>LibreOffice/6.0.3.2$Linux_X86_64 LibreOffice_project/00m0$Build-2</Application>
  <Pages>5</Pages>
  <Words>1475</Words>
  <Characters>7637</Characters>
  <CharactersWithSpaces>9003</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2021-04-04T07:29:00Z</dcterms:created>
  <dc:creator>Abhijeet Masal</dc:creator>
  <dc:description/>
  <dc:language>en-IN</dc:language>
  <cp:lastModifiedBy/>
  <dcterms:modified xsi:type="dcterms:W3CDTF">2021-10-01T23:22:51Z</dcterms:modified>
  <cp:revision>76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